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8" w:lineRule="exact"/>
        <w:jc w:val="center"/>
        <w:textAlignment w:val="auto"/>
        <w:outlineLvl w:val="0"/>
        <w:rPr>
          <w:rFonts w:ascii="方正小标宋简体" w:hAnsi="宋体" w:eastAsia="方正小标宋简体"/>
          <w:color w:val="auto"/>
          <w:sz w:val="72"/>
          <w:szCs w:val="72"/>
          <w:highlight w:val="none"/>
        </w:rPr>
      </w:pPr>
      <w:bookmarkStart w:id="0" w:name="_Toc15396597"/>
      <w:bookmarkStart w:id="1" w:name="_Toc15378441"/>
      <w:bookmarkStart w:id="2" w:name="_Toc15377425"/>
      <w:bookmarkStart w:id="3" w:name="_Toc15396475"/>
      <w:bookmarkStart w:id="4" w:name="_Toc15377193"/>
      <w:bookmarkStart w:id="5" w:name="_Toc15306267"/>
    </w:p>
    <w:p>
      <w:pPr>
        <w:pageBreakBefore w:val="0"/>
        <w:kinsoku/>
        <w:wordWrap/>
        <w:overflowPunct/>
        <w:topLinePunct w:val="0"/>
        <w:bidi w:val="0"/>
        <w:spacing w:line="578" w:lineRule="exact"/>
        <w:jc w:val="center"/>
        <w:textAlignment w:val="auto"/>
        <w:outlineLvl w:val="0"/>
        <w:rPr>
          <w:rFonts w:ascii="方正小标宋简体" w:hAnsi="宋体" w:eastAsia="方正小标宋简体"/>
          <w:color w:val="auto"/>
          <w:sz w:val="72"/>
          <w:szCs w:val="72"/>
          <w:highlight w:val="none"/>
        </w:rPr>
      </w:pPr>
    </w:p>
    <w:p>
      <w:pPr>
        <w:pageBreakBefore w:val="0"/>
        <w:kinsoku/>
        <w:wordWrap/>
        <w:overflowPunct/>
        <w:topLinePunct w:val="0"/>
        <w:bidi w:val="0"/>
        <w:spacing w:line="578" w:lineRule="exact"/>
        <w:jc w:val="center"/>
        <w:textAlignment w:val="auto"/>
        <w:outlineLvl w:val="0"/>
        <w:rPr>
          <w:rFonts w:ascii="方正小标宋简体" w:hAnsi="宋体" w:eastAsia="方正小标宋简体"/>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pStyle w:val="5"/>
        <w:pageBreakBefore w:val="0"/>
        <w:kinsoku/>
        <w:wordWrap/>
        <w:overflowPunct/>
        <w:topLinePunct w:val="0"/>
        <w:bidi w:val="0"/>
        <w:spacing w:beforeLines="0"/>
        <w:rPr>
          <w:rFonts w:hint="eastAsia"/>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方正小标宋简体" w:eastAsia="方正小标宋简体" w:cs="方正小标宋简体"/>
          <w:color w:val="auto"/>
          <w:sz w:val="72"/>
          <w:szCs w:val="72"/>
          <w:highlight w:val="none"/>
        </w:rPr>
      </w:pPr>
      <w:bookmarkStart w:id="6" w:name="_Toc15377194"/>
      <w:bookmarkStart w:id="7" w:name="_Toc15378442"/>
      <w:bookmarkStart w:id="8" w:name="_Toc15377426"/>
      <w:bookmarkStart w:id="9" w:name="_Toc15396476"/>
      <w:bookmarkStart w:id="10" w:name="_Toc15396598"/>
      <w:r>
        <w:rPr>
          <w:rFonts w:hint="eastAsia" w:ascii="方正小标宋简体" w:hAnsi="方正小标宋简体" w:eastAsia="方正小标宋简体" w:cs="方正小标宋简体"/>
          <w:color w:val="auto"/>
          <w:sz w:val="72"/>
          <w:szCs w:val="72"/>
          <w:highlight w:val="none"/>
          <w:lang w:val="en-US" w:eastAsia="zh-CN"/>
        </w:rPr>
        <w:t>泸县</w:t>
      </w:r>
      <w:bookmarkEnd w:id="5"/>
      <w:bookmarkStart w:id="11" w:name="_Toc15306268"/>
      <w:r>
        <w:rPr>
          <w:rFonts w:hint="eastAsia" w:ascii="方正小标宋简体" w:hAnsi="方正小标宋简体" w:eastAsia="方正小标宋简体" w:cs="方正小标宋简体"/>
          <w:color w:val="auto"/>
          <w:sz w:val="72"/>
          <w:szCs w:val="72"/>
          <w:highlight w:val="none"/>
          <w:lang w:val="en-US" w:eastAsia="zh-CN"/>
        </w:rPr>
        <w:t>档案馆</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keepNext w:val="0"/>
        <w:keepLines w:val="0"/>
        <w:pageBreakBefore w:val="0"/>
        <w:widowControl/>
        <w:kinsoku/>
        <w:wordWrap/>
        <w:overflowPunct/>
        <w:topLinePunct w:val="0"/>
        <w:autoSpaceDE/>
        <w:autoSpaceDN/>
        <w:bidi w:val="0"/>
        <w:spacing w:line="700" w:lineRule="exact"/>
        <w:jc w:val="center"/>
        <w:textAlignment w:val="auto"/>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方正仿宋简体" w:hAnsi="方正仿宋简体" w:eastAsia="方正仿宋简体" w:cs="方正仿宋简体"/>
          <w:b/>
          <w:bCs/>
          <w:color w:val="auto"/>
          <w:sz w:val="44"/>
          <w:szCs w:val="44"/>
          <w:highlight w:val="none"/>
        </w:rPr>
        <w:t>目录</w:t>
      </w:r>
    </w:p>
    <w:p>
      <w:pPr>
        <w:pageBreakBefore w:val="0"/>
        <w:widowControl/>
        <w:kinsoku/>
        <w:wordWrap/>
        <w:overflowPunct/>
        <w:topLinePunct w:val="0"/>
        <w:bidi w:val="0"/>
        <w:spacing w:line="578" w:lineRule="exact"/>
        <w:jc w:val="center"/>
        <w:textAlignment w:val="auto"/>
        <w:rPr>
          <w:rFonts w:ascii="黑体" w:hAnsi="黑体" w:eastAsia="黑体" w:cstheme="minorBidi"/>
          <w:color w:val="auto"/>
          <w:sz w:val="28"/>
          <w:szCs w:val="28"/>
          <w:highlight w:val="none"/>
        </w:rPr>
      </w:pPr>
    </w:p>
    <w:p>
      <w:pPr>
        <w:pStyle w:val="11"/>
        <w:pageBreakBefore w:val="0"/>
        <w:kinsoku/>
        <w:wordWrap/>
        <w:overflowPunct/>
        <w:topLinePunct w:val="0"/>
        <w:bidi w:val="0"/>
        <w:spacing w:before="0" w:line="578" w:lineRule="exact"/>
        <w:textAlignment w:val="auto"/>
        <w:rPr>
          <w:rFonts w:hint="default" w:ascii="Times New Roman" w:hAnsi="Times New Roman" w:eastAsia="方正楷体简体" w:cs="Times New Roman"/>
          <w:b/>
          <w:bCs/>
          <w:color w:val="auto"/>
          <w:highlight w:val="none"/>
        </w:rPr>
      </w:pPr>
      <w:r>
        <w:rPr>
          <w:rFonts w:hint="default" w:ascii="Times New Roman" w:hAnsi="Times New Roman" w:eastAsia="方正楷体简体" w:cs="Times New Roman"/>
          <w:b/>
          <w:bCs/>
          <w:color w:val="auto"/>
          <w:highlight w:val="none"/>
        </w:rPr>
        <w:t>公开时间：20</w:t>
      </w:r>
      <w:r>
        <w:rPr>
          <w:rFonts w:hint="default" w:ascii="Times New Roman" w:hAnsi="Times New Roman" w:eastAsia="方正楷体简体" w:cs="Times New Roman"/>
          <w:b/>
          <w:bCs/>
          <w:color w:val="auto"/>
          <w:highlight w:val="none"/>
          <w:lang w:val="en-US" w:eastAsia="zh-CN"/>
        </w:rPr>
        <w:t>23</w:t>
      </w:r>
      <w:r>
        <w:rPr>
          <w:rFonts w:hint="default" w:ascii="Times New Roman" w:hAnsi="Times New Roman" w:eastAsia="方正楷体简体" w:cs="Times New Roman"/>
          <w:b/>
          <w:bCs/>
          <w:color w:val="auto"/>
          <w:highlight w:val="none"/>
        </w:rPr>
        <w:t>年</w:t>
      </w:r>
      <w:r>
        <w:rPr>
          <w:rFonts w:hint="default" w:ascii="Times New Roman" w:hAnsi="Times New Roman" w:eastAsia="方正楷体简体" w:cs="Times New Roman"/>
          <w:b/>
          <w:bCs/>
          <w:color w:val="auto"/>
          <w:highlight w:val="none"/>
          <w:lang w:val="en-US" w:eastAsia="zh-CN"/>
        </w:rPr>
        <w:t>10</w:t>
      </w:r>
      <w:r>
        <w:rPr>
          <w:rFonts w:hint="default" w:ascii="Times New Roman" w:hAnsi="Times New Roman" w:eastAsia="方正楷体简体" w:cs="Times New Roman"/>
          <w:b/>
          <w:bCs/>
          <w:color w:val="auto"/>
          <w:highlight w:val="none"/>
        </w:rPr>
        <w:t>月</w:t>
      </w:r>
      <w:r>
        <w:rPr>
          <w:rFonts w:hint="default" w:ascii="Times New Roman" w:hAnsi="Times New Roman" w:eastAsia="方正楷体简体" w:cs="Times New Roman"/>
          <w:b/>
          <w:bCs/>
          <w:color w:val="auto"/>
          <w:highlight w:val="none"/>
          <w:lang w:val="en-US" w:eastAsia="zh-CN"/>
        </w:rPr>
        <w:t xml:space="preserve"> </w:t>
      </w:r>
      <w:r>
        <w:rPr>
          <w:rFonts w:hint="default" w:ascii="Times New Roman" w:hAnsi="Times New Roman" w:eastAsia="方正楷体简体" w:cs="Times New Roman"/>
          <w:b/>
          <w:bCs/>
          <w:color w:val="auto"/>
          <w:highlight w:val="none"/>
        </w:rPr>
        <w:t>日</w:t>
      </w:r>
    </w:p>
    <w:p>
      <w:pPr>
        <w:pageBreakBefore w:val="0"/>
        <w:kinsoku/>
        <w:wordWrap/>
        <w:overflowPunct/>
        <w:topLinePunct w:val="0"/>
        <w:bidi w:val="0"/>
        <w:spacing w:line="578" w:lineRule="exact"/>
        <w:textAlignment w:val="auto"/>
        <w:rPr>
          <w:color w:val="auto"/>
          <w:highlight w:val="none"/>
        </w:rPr>
      </w:pPr>
    </w:p>
    <w:p>
      <w:pPr>
        <w:pStyle w:val="11"/>
        <w:pageBreakBefore w:val="0"/>
        <w:kinsoku/>
        <w:wordWrap/>
        <w:overflowPunct/>
        <w:topLinePunct w:val="0"/>
        <w:bidi w:val="0"/>
        <w:adjustRightInd w:val="0"/>
        <w:snapToGrid w:val="0"/>
        <w:spacing w:before="0" w:line="578" w:lineRule="exact"/>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第一部分</w:t>
      </w:r>
      <w:r>
        <w:rPr>
          <w:rFonts w:hint="default" w:ascii="Times New Roman" w:hAnsi="Times New Roman" w:eastAsia="方正仿宋简体" w:cs="Times New Roman"/>
          <w:b/>
          <w:bCs/>
          <w:sz w:val="28"/>
          <w:szCs w:val="28"/>
        </w:rPr>
        <w:t xml:space="preserve"> </w:t>
      </w:r>
      <w:r>
        <w:rPr>
          <w:rFonts w:hint="eastAsia" w:ascii="Times New Roman" w:hAnsi="Times New Roman" w:eastAsia="方正仿宋简体" w:cs="Times New Roman"/>
          <w:b/>
          <w:bCs/>
          <w:sz w:val="28"/>
          <w:szCs w:val="28"/>
        </w:rPr>
        <w:t>部门概况</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4</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一、</w:t>
      </w:r>
      <w:r>
        <w:rPr>
          <w:rFonts w:hint="eastAsia" w:ascii="Times New Roman" w:hAnsi="Times New Roman" w:eastAsia="方正仿宋简体" w:cs="Times New Roman"/>
          <w:b/>
          <w:bCs/>
          <w:sz w:val="28"/>
          <w:szCs w:val="28"/>
          <w:lang w:eastAsia="zh-CN"/>
        </w:rPr>
        <w:t>部门职责……………………………………………………</w:t>
      </w:r>
      <w:r>
        <w:rPr>
          <w:rFonts w:hint="eastAsia" w:ascii="Times New Roman" w:hAnsi="Times New Roman" w:eastAsia="方正仿宋简体" w:cs="Times New Roman"/>
          <w:b/>
          <w:bCs/>
          <w:sz w:val="28"/>
          <w:szCs w:val="28"/>
          <w:lang w:val="en-US" w:eastAsia="zh-CN"/>
        </w:rPr>
        <w:t>4</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二、机构设置</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5</w:t>
      </w:r>
    </w:p>
    <w:p>
      <w:pPr>
        <w:pStyle w:val="11"/>
        <w:pageBreakBefore w:val="0"/>
        <w:kinsoku/>
        <w:wordWrap/>
        <w:overflowPunct/>
        <w:topLinePunct w:val="0"/>
        <w:bidi w:val="0"/>
        <w:adjustRightInd w:val="0"/>
        <w:snapToGrid w:val="0"/>
        <w:spacing w:before="0" w:line="578" w:lineRule="exact"/>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第二部分</w:t>
      </w:r>
      <w:r>
        <w:rPr>
          <w:rFonts w:hint="eastAsia" w:ascii="Times New Roman" w:hAnsi="Times New Roman" w:eastAsia="方正仿宋简体" w:cs="Times New Roman"/>
          <w:b/>
          <w:bCs/>
          <w:sz w:val="28"/>
          <w:szCs w:val="28"/>
          <w:lang w:val="en-US" w:eastAsia="zh-CN"/>
        </w:rPr>
        <w:t xml:space="preserve"> 2022年度</w:t>
      </w:r>
      <w:r>
        <w:rPr>
          <w:rFonts w:hint="eastAsia" w:ascii="Times New Roman" w:hAnsi="Times New Roman" w:eastAsia="方正仿宋简体" w:cs="Times New Roman"/>
          <w:b/>
          <w:bCs/>
          <w:sz w:val="28"/>
          <w:szCs w:val="28"/>
        </w:rPr>
        <w:t>部门决算情况说明</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……6</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一、收入支出决算总体情况说明</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6</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eastAsia"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二、收入决算情况说明</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6</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三、支出决算情况说明</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6</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四、财政拨款收入支出决算总体情况说明</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6</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五、一般公共预算财政拨款支出决算情况说明</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6</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六、一般公共预算财政拨款基本支出决算情况说明</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7</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七、财政拨款</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rPr>
        <w:t>三公”经费支出决算情况说明</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8</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八、政府性基金预算支出决算情况说明</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9</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九、</w:t>
      </w:r>
      <w:r>
        <w:rPr>
          <w:rFonts w:hint="eastAsia" w:ascii="Times New Roman" w:hAnsi="Times New Roman" w:eastAsia="方正仿宋简体" w:cs="Times New Roman"/>
          <w:b/>
          <w:bCs/>
          <w:sz w:val="28"/>
          <w:szCs w:val="28"/>
          <w:lang w:eastAsia="zh-CN"/>
        </w:rPr>
        <w:t>国</w:t>
      </w:r>
      <w:r>
        <w:rPr>
          <w:rFonts w:hint="eastAsia" w:ascii="Times New Roman" w:hAnsi="Times New Roman" w:eastAsia="方正仿宋简体" w:cs="Times New Roman"/>
          <w:b/>
          <w:bCs/>
          <w:sz w:val="28"/>
          <w:szCs w:val="28"/>
        </w:rPr>
        <w:t>有资本经营预算支出决算情况说明</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9</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eastAsia"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lang w:eastAsia="zh-CN"/>
        </w:rPr>
        <w:t>十</w:t>
      </w:r>
      <w:r>
        <w:rPr>
          <w:rFonts w:hint="eastAsia" w:ascii="Times New Roman" w:hAnsi="Times New Roman" w:eastAsia="方正仿宋简体" w:cs="Times New Roman"/>
          <w:b/>
          <w:bCs/>
          <w:sz w:val="28"/>
          <w:szCs w:val="28"/>
        </w:rPr>
        <w:t>、其他重要事项的情况说明</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9</w:t>
      </w:r>
    </w:p>
    <w:p>
      <w:pPr>
        <w:pStyle w:val="11"/>
        <w:pageBreakBefore w:val="0"/>
        <w:kinsoku/>
        <w:wordWrap/>
        <w:overflowPunct/>
        <w:topLinePunct w:val="0"/>
        <w:bidi w:val="0"/>
        <w:adjustRightInd w:val="0"/>
        <w:snapToGrid w:val="0"/>
        <w:spacing w:before="0" w:line="578" w:lineRule="exact"/>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第三部分</w:t>
      </w:r>
      <w:r>
        <w:rPr>
          <w:rFonts w:hint="default" w:ascii="Times New Roman" w:hAnsi="Times New Roman" w:eastAsia="方正仿宋简体" w:cs="Times New Roman"/>
          <w:b/>
          <w:bCs/>
          <w:sz w:val="28"/>
          <w:szCs w:val="28"/>
        </w:rPr>
        <w:t xml:space="preserve"> </w:t>
      </w:r>
      <w:r>
        <w:rPr>
          <w:rFonts w:hint="eastAsia" w:ascii="Times New Roman" w:hAnsi="Times New Roman" w:eastAsia="方正仿宋简体" w:cs="Times New Roman"/>
          <w:b/>
          <w:bCs/>
          <w:sz w:val="28"/>
          <w:szCs w:val="28"/>
        </w:rPr>
        <w:t>名词解释</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11</w:t>
      </w:r>
    </w:p>
    <w:p>
      <w:pPr>
        <w:pStyle w:val="11"/>
        <w:pageBreakBefore w:val="0"/>
        <w:kinsoku/>
        <w:wordWrap/>
        <w:overflowPunct/>
        <w:topLinePunct w:val="0"/>
        <w:bidi w:val="0"/>
        <w:adjustRightInd w:val="0"/>
        <w:snapToGrid w:val="0"/>
        <w:spacing w:before="0" w:line="578" w:lineRule="exact"/>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第四部分</w:t>
      </w:r>
      <w:r>
        <w:rPr>
          <w:rFonts w:hint="default" w:ascii="Times New Roman" w:hAnsi="Times New Roman" w:eastAsia="方正仿宋简体" w:cs="Times New Roman"/>
          <w:b/>
          <w:bCs/>
          <w:sz w:val="28"/>
          <w:szCs w:val="28"/>
        </w:rPr>
        <w:t xml:space="preserve"> </w:t>
      </w:r>
      <w:r>
        <w:rPr>
          <w:rFonts w:hint="eastAsia" w:ascii="Times New Roman" w:hAnsi="Times New Roman" w:eastAsia="方正仿宋简体" w:cs="Times New Roman"/>
          <w:b/>
          <w:bCs/>
          <w:sz w:val="28"/>
          <w:szCs w:val="28"/>
        </w:rPr>
        <w:t>附件</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13</w:t>
      </w:r>
    </w:p>
    <w:p>
      <w:pPr>
        <w:pStyle w:val="11"/>
        <w:pageBreakBefore w:val="0"/>
        <w:kinsoku/>
        <w:wordWrap/>
        <w:overflowPunct/>
        <w:topLinePunct w:val="0"/>
        <w:bidi w:val="0"/>
        <w:adjustRightInd w:val="0"/>
        <w:snapToGrid w:val="0"/>
        <w:spacing w:before="0" w:line="578" w:lineRule="exact"/>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第五部分</w:t>
      </w:r>
      <w:r>
        <w:rPr>
          <w:rFonts w:hint="default" w:ascii="Times New Roman" w:hAnsi="Times New Roman" w:eastAsia="方正仿宋简体" w:cs="Times New Roman"/>
          <w:b/>
          <w:bCs/>
          <w:sz w:val="28"/>
          <w:szCs w:val="28"/>
        </w:rPr>
        <w:t xml:space="preserve"> </w:t>
      </w:r>
      <w:r>
        <w:rPr>
          <w:rFonts w:hint="eastAsia" w:ascii="Times New Roman" w:hAnsi="Times New Roman" w:eastAsia="方正仿宋简体" w:cs="Times New Roman"/>
          <w:b/>
          <w:bCs/>
          <w:sz w:val="28"/>
          <w:szCs w:val="28"/>
        </w:rPr>
        <w:t>附表</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33</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一、收入支出决算总表</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34</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二、收入决算表</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35</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三、支出决算表</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36</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四、财政拨款收入支出决算总表</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37</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五、财政拨款支出决算明细表</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38</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六、一般公共预算财政拨款支出决算表</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39</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七、一般公共预算财政拨款支出决算明细表</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40</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八、一般公共预算财政拨款基本支出决算</w:t>
      </w:r>
      <w:r>
        <w:rPr>
          <w:rFonts w:hint="eastAsia" w:ascii="Times New Roman" w:hAnsi="Times New Roman" w:eastAsia="方正仿宋简体" w:cs="Times New Roman"/>
          <w:b/>
          <w:bCs/>
          <w:sz w:val="28"/>
          <w:szCs w:val="28"/>
          <w:lang w:eastAsia="zh-CN"/>
        </w:rPr>
        <w:t>明细</w:t>
      </w:r>
      <w:r>
        <w:rPr>
          <w:rFonts w:hint="eastAsia" w:ascii="Times New Roman" w:hAnsi="Times New Roman" w:eastAsia="方正仿宋简体" w:cs="Times New Roman"/>
          <w:b/>
          <w:bCs/>
          <w:sz w:val="28"/>
          <w:szCs w:val="28"/>
        </w:rPr>
        <w:t>表</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41</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九、一般公共预算财政拨款项目支出决算表</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42</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十、政府性基金预算财政拨款收入支出决算表</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43</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十一、国有资本经营预算财政拨款收入支出决算表</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44</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rPr>
      </w:pPr>
      <w:r>
        <w:rPr>
          <w:rFonts w:hint="eastAsia" w:ascii="Times New Roman" w:hAnsi="Times New Roman" w:eastAsia="方正仿宋简体" w:cs="Times New Roman"/>
          <w:b/>
          <w:bCs/>
          <w:sz w:val="28"/>
          <w:szCs w:val="28"/>
        </w:rPr>
        <w:t>十二、</w:t>
      </w:r>
      <w:r>
        <w:rPr>
          <w:rFonts w:hint="eastAsia" w:ascii="Times New Roman" w:hAnsi="Times New Roman" w:eastAsia="方正仿宋简体" w:cs="Times New Roman"/>
          <w:b/>
          <w:bCs/>
          <w:sz w:val="28"/>
          <w:szCs w:val="28"/>
          <w:lang w:val="en-US" w:eastAsia="zh-CN"/>
        </w:rPr>
        <w:t>国有资本经营预算财政拨款支出决算表……………45</w:t>
      </w:r>
    </w:p>
    <w:p>
      <w:pPr>
        <w:pStyle w:val="11"/>
        <w:pageBreakBefore w:val="0"/>
        <w:kinsoku/>
        <w:wordWrap/>
        <w:overflowPunct/>
        <w:topLinePunct w:val="0"/>
        <w:bidi w:val="0"/>
        <w:adjustRightInd w:val="0"/>
        <w:snapToGrid w:val="0"/>
        <w:spacing w:before="0" w:line="578" w:lineRule="exact"/>
        <w:ind w:firstLine="562" w:firstLineChars="200"/>
        <w:jc w:val="left"/>
        <w:textAlignment w:val="auto"/>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简体" w:cs="Times New Roman"/>
          <w:b/>
          <w:bCs/>
          <w:sz w:val="28"/>
          <w:szCs w:val="28"/>
        </w:rPr>
        <w:t>十三、财政拨款“三公”经费支出决算表</w:t>
      </w:r>
      <w:r>
        <w:rPr>
          <w:rFonts w:hint="eastAsia" w:ascii="Times New Roman" w:hAnsi="Times New Roman" w:eastAsia="方正仿宋简体" w:cs="Times New Roman"/>
          <w:b/>
          <w:bCs/>
          <w:sz w:val="28"/>
          <w:szCs w:val="28"/>
          <w:lang w:eastAsia="zh-CN"/>
        </w:rPr>
        <w:t>…………………</w:t>
      </w:r>
      <w:r>
        <w:rPr>
          <w:rFonts w:hint="eastAsia" w:ascii="Times New Roman" w:hAnsi="Times New Roman" w:eastAsia="方正仿宋简体" w:cs="Times New Roman"/>
          <w:b/>
          <w:bCs/>
          <w:sz w:val="28"/>
          <w:szCs w:val="28"/>
          <w:lang w:val="en-US" w:eastAsia="zh-CN"/>
        </w:rPr>
        <w:t>46</w:t>
      </w:r>
    </w:p>
    <w:p>
      <w:pPr>
        <w:pageBreakBefore w:val="0"/>
        <w:widowControl/>
        <w:kinsoku/>
        <w:wordWrap/>
        <w:overflowPunct/>
        <w:topLinePunct w:val="0"/>
        <w:bidi w:val="0"/>
        <w:adjustRightInd w:val="0"/>
        <w:snapToGrid w:val="0"/>
        <w:spacing w:line="578" w:lineRule="exact"/>
        <w:ind w:firstLine="1320" w:firstLineChars="550"/>
        <w:jc w:val="left"/>
        <w:textAlignment w:val="auto"/>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请部门根据实际注明页码</w:t>
      </w:r>
      <w:r>
        <w:rPr>
          <w:rFonts w:ascii="仿宋" w:hAnsi="仿宋" w:eastAsia="仿宋"/>
          <w:color w:val="auto"/>
          <w:sz w:val="24"/>
          <w:highlight w:val="none"/>
        </w:rPr>
        <w:t>)</w:t>
      </w:r>
    </w:p>
    <w:p>
      <w:pPr>
        <w:pageBreakBefore w:val="0"/>
        <w:widowControl/>
        <w:kinsoku/>
        <w:wordWrap/>
        <w:overflowPunct/>
        <w:topLinePunct w:val="0"/>
        <w:bidi w:val="0"/>
        <w:spacing w:line="578" w:lineRule="exact"/>
        <w:jc w:val="left"/>
        <w:textAlignment w:val="auto"/>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2"/>
        <w:pageBreakBefore w:val="0"/>
        <w:kinsoku/>
        <w:wordWrap/>
        <w:overflowPunct/>
        <w:topLinePunct w:val="0"/>
        <w:bidi w:val="0"/>
        <w:spacing w:before="0" w:after="0" w:line="578" w:lineRule="exact"/>
        <w:jc w:val="center"/>
        <w:textAlignment w:val="auto"/>
        <w:rPr>
          <w:rFonts w:hint="eastAsia" w:ascii="方正小标宋简体" w:hAnsi="方正小标宋简体" w:eastAsia="方正小标宋简体" w:cs="方正小标宋简体"/>
          <w:b/>
          <w:bCs w:val="0"/>
          <w:color w:val="auto"/>
          <w:highlight w:val="none"/>
        </w:rPr>
      </w:pPr>
      <w:r>
        <w:rPr>
          <w:rFonts w:hint="eastAsia" w:ascii="方正小标宋简体" w:hAnsi="方正小标宋简体" w:eastAsia="方正小标宋简体" w:cs="方正小标宋简体"/>
          <w:b/>
          <w:bCs w:val="0"/>
          <w:color w:val="auto"/>
          <w:highlight w:val="none"/>
        </w:rPr>
        <w:t>第一部分 部门概况</w:t>
      </w:r>
      <w:bookmarkEnd w:id="12"/>
      <w:bookmarkEnd w:id="13"/>
    </w:p>
    <w:p>
      <w:pPr>
        <w:pStyle w:val="3"/>
        <w:pageBreakBefore w:val="0"/>
        <w:kinsoku/>
        <w:wordWrap/>
        <w:overflowPunct/>
        <w:topLinePunct w:val="0"/>
        <w:bidi w:val="0"/>
        <w:spacing w:before="0" w:after="0" w:line="578" w:lineRule="exact"/>
        <w:textAlignment w:val="auto"/>
        <w:rPr>
          <w:rFonts w:hint="eastAsia" w:ascii="方正黑体简体" w:hAnsi="方正黑体简体" w:eastAsia="方正黑体简体" w:cs="方正黑体简体"/>
          <w:b/>
          <w:bCs w:val="0"/>
          <w:color w:val="auto"/>
          <w:highlight w:val="none"/>
        </w:rPr>
      </w:pPr>
      <w:bookmarkStart w:id="14" w:name="_Toc15396600"/>
      <w:bookmarkStart w:id="15" w:name="_Toc15377197"/>
    </w:p>
    <w:p>
      <w:pPr>
        <w:pStyle w:val="3"/>
        <w:pageBreakBefore w:val="0"/>
        <w:kinsoku/>
        <w:wordWrap/>
        <w:overflowPunct/>
        <w:topLinePunct w:val="0"/>
        <w:bidi w:val="0"/>
        <w:spacing w:before="0" w:after="0" w:line="578" w:lineRule="exact"/>
        <w:ind w:firstLine="643" w:firstLineChars="200"/>
        <w:textAlignment w:val="auto"/>
        <w:rPr>
          <w:rFonts w:hint="eastAsia" w:ascii="方正黑体简体" w:hAnsi="方正黑体简体" w:eastAsia="方正黑体简体" w:cs="方正黑体简体"/>
          <w:b/>
          <w:bCs w:val="0"/>
          <w:color w:val="auto"/>
          <w:highlight w:val="none"/>
          <w:lang w:eastAsia="zh-CN"/>
        </w:rPr>
      </w:pPr>
      <w:r>
        <w:rPr>
          <w:rFonts w:hint="eastAsia" w:ascii="方正黑体简体" w:hAnsi="方正黑体简体" w:eastAsia="方正黑体简体" w:cs="方正黑体简体"/>
          <w:b/>
          <w:bCs w:val="0"/>
          <w:color w:val="auto"/>
          <w:highlight w:val="none"/>
        </w:rPr>
        <w:t>一、</w:t>
      </w:r>
      <w:bookmarkEnd w:id="14"/>
      <w:bookmarkEnd w:id="15"/>
      <w:r>
        <w:rPr>
          <w:rFonts w:hint="eastAsia" w:ascii="方正黑体简体" w:hAnsi="方正黑体简体" w:eastAsia="方正黑体简体" w:cs="方正黑体简体"/>
          <w:b/>
          <w:bCs w:val="0"/>
          <w:color w:val="auto"/>
          <w:highlight w:val="none"/>
          <w:lang w:eastAsia="zh-CN"/>
        </w:rPr>
        <w:t>部门职责</w:t>
      </w:r>
    </w:p>
    <w:p>
      <w:pPr>
        <w:pageBreakBefore w:val="0"/>
        <w:widowControl/>
        <w:numPr>
          <w:ilvl w:val="0"/>
          <w:numId w:val="1"/>
        </w:numPr>
        <w:kinsoku/>
        <w:wordWrap/>
        <w:overflowPunct/>
        <w:topLinePunct w:val="0"/>
        <w:bidi w:val="0"/>
        <w:adjustRightInd w:val="0"/>
        <w:snapToGrid w:val="0"/>
        <w:spacing w:line="578" w:lineRule="exact"/>
        <w:ind w:firstLine="643" w:firstLineChars="200"/>
        <w:contextualSpacing/>
        <w:jc w:val="left"/>
        <w:textAlignment w:val="auto"/>
        <w:rPr>
          <w:rFonts w:hint="eastAsia" w:eastAsia="方正仿宋简体"/>
          <w:b/>
          <w:sz w:val="32"/>
          <w:szCs w:val="32"/>
        </w:rPr>
      </w:pPr>
      <w:r>
        <w:rPr>
          <w:rFonts w:hint="eastAsia" w:eastAsia="方正仿宋简体"/>
          <w:b/>
          <w:sz w:val="32"/>
          <w:szCs w:val="32"/>
        </w:rPr>
        <w:t>为机关提供支持保障的职能</w:t>
      </w:r>
      <w:r>
        <w:rPr>
          <w:rFonts w:hint="eastAsia" w:eastAsia="方正仿宋简体"/>
          <w:b/>
          <w:sz w:val="32"/>
          <w:szCs w:val="32"/>
          <w:lang w:eastAsia="zh-CN"/>
        </w:rPr>
        <w:t>：（</w:t>
      </w:r>
      <w:r>
        <w:rPr>
          <w:rFonts w:hint="eastAsia" w:eastAsia="方正仿宋简体"/>
          <w:b/>
          <w:sz w:val="32"/>
          <w:szCs w:val="32"/>
        </w:rPr>
        <w:t>1</w:t>
      </w:r>
      <w:r>
        <w:rPr>
          <w:rFonts w:hint="eastAsia" w:eastAsia="方正仿宋简体"/>
          <w:b/>
          <w:sz w:val="32"/>
          <w:szCs w:val="32"/>
          <w:lang w:eastAsia="zh-CN"/>
        </w:rPr>
        <w:t>）</w:t>
      </w:r>
      <w:r>
        <w:rPr>
          <w:rFonts w:hint="eastAsia" w:eastAsia="方正仿宋简体"/>
          <w:b/>
          <w:sz w:val="32"/>
          <w:szCs w:val="32"/>
        </w:rPr>
        <w:t>贯彻执行党和国家、省委、市委、县委有关档案管理的法律法规规章及有关规定，参与拟订全县档案事业发展中长期规划；制定县档案馆发展规划、年度计划和规章制度并组织实施。</w:t>
      </w:r>
      <w:r>
        <w:rPr>
          <w:rFonts w:hint="eastAsia" w:eastAsia="方正仿宋简体"/>
          <w:b/>
          <w:sz w:val="32"/>
          <w:szCs w:val="32"/>
          <w:lang w:eastAsia="zh-CN"/>
        </w:rPr>
        <w:t>（</w:t>
      </w:r>
      <w:r>
        <w:rPr>
          <w:rFonts w:hint="eastAsia" w:eastAsia="方正仿宋简体"/>
          <w:b/>
          <w:sz w:val="32"/>
          <w:szCs w:val="32"/>
        </w:rPr>
        <w:t>2</w:t>
      </w:r>
      <w:r>
        <w:rPr>
          <w:rFonts w:hint="eastAsia" w:eastAsia="方正仿宋简体"/>
          <w:b/>
          <w:sz w:val="32"/>
          <w:szCs w:val="32"/>
          <w:lang w:eastAsia="zh-CN"/>
        </w:rPr>
        <w:t>）</w:t>
      </w:r>
      <w:r>
        <w:rPr>
          <w:rFonts w:hint="eastAsia" w:eastAsia="方正仿宋简体"/>
          <w:b/>
          <w:sz w:val="32"/>
          <w:szCs w:val="32"/>
        </w:rPr>
        <w:t>集中统一管理县级重要档案资料和泸县历史档案资料；依法依规收集、整理、保管、保护各镇、街道、县直机关、团体、事业单位、国有企业及其下属单位和县级重大会议、重大活动、重大突发事件及其他对国家和社会具有保存价值的各种门类和载体的档案，并提供利用；研究制定进馆档案的接收标准和规范并提供业务指导。</w:t>
      </w:r>
      <w:r>
        <w:rPr>
          <w:rFonts w:hint="eastAsia" w:eastAsia="方正仿宋简体"/>
          <w:b/>
          <w:sz w:val="32"/>
          <w:szCs w:val="32"/>
          <w:lang w:eastAsia="zh-CN"/>
        </w:rPr>
        <w:t>（</w:t>
      </w:r>
      <w:r>
        <w:rPr>
          <w:rFonts w:hint="eastAsia" w:eastAsia="方正仿宋简体"/>
          <w:b/>
          <w:sz w:val="32"/>
          <w:szCs w:val="32"/>
        </w:rPr>
        <w:t>3</w:t>
      </w:r>
      <w:r>
        <w:rPr>
          <w:rFonts w:hint="eastAsia" w:eastAsia="方正仿宋简体"/>
          <w:b/>
          <w:sz w:val="32"/>
          <w:szCs w:val="32"/>
          <w:lang w:eastAsia="zh-CN"/>
        </w:rPr>
        <w:t>）</w:t>
      </w:r>
      <w:r>
        <w:rPr>
          <w:rFonts w:hint="eastAsia" w:eastAsia="方正仿宋简体"/>
          <w:b/>
          <w:sz w:val="32"/>
          <w:szCs w:val="32"/>
        </w:rPr>
        <w:t>开展重要、珍贵档案资料征集工作；依法接受有重要保存利用价值档案的捐赠和寄存。</w:t>
      </w:r>
      <w:r>
        <w:rPr>
          <w:rFonts w:hint="eastAsia" w:eastAsia="方正仿宋简体"/>
          <w:b/>
          <w:sz w:val="32"/>
          <w:szCs w:val="32"/>
          <w:lang w:eastAsia="zh-CN"/>
        </w:rPr>
        <w:t>（</w:t>
      </w:r>
      <w:r>
        <w:rPr>
          <w:rFonts w:hint="eastAsia" w:eastAsia="方正仿宋简体"/>
          <w:b/>
          <w:sz w:val="32"/>
          <w:szCs w:val="32"/>
        </w:rPr>
        <w:t>4</w:t>
      </w:r>
      <w:r>
        <w:rPr>
          <w:rFonts w:hint="eastAsia" w:eastAsia="方正仿宋简体"/>
          <w:b/>
          <w:sz w:val="32"/>
          <w:szCs w:val="32"/>
          <w:lang w:eastAsia="zh-CN"/>
        </w:rPr>
        <w:t>）</w:t>
      </w:r>
      <w:r>
        <w:rPr>
          <w:rFonts w:hint="eastAsia" w:eastAsia="方正仿宋简体"/>
          <w:b/>
          <w:sz w:val="32"/>
          <w:szCs w:val="32"/>
        </w:rPr>
        <w:t>负责馆藏档案实体和信息安全、保密工作，对重要档案实行异质异地备份保管；依法开展对馆藏档案的鉴定、解密、划控和开放工作。</w:t>
      </w:r>
      <w:r>
        <w:rPr>
          <w:rFonts w:hint="eastAsia" w:eastAsia="方正仿宋简体"/>
          <w:b/>
          <w:sz w:val="32"/>
          <w:szCs w:val="32"/>
          <w:lang w:eastAsia="zh-CN"/>
        </w:rPr>
        <w:t>（</w:t>
      </w:r>
      <w:r>
        <w:rPr>
          <w:rFonts w:hint="eastAsia" w:eastAsia="方正仿宋简体"/>
          <w:b/>
          <w:sz w:val="32"/>
          <w:szCs w:val="32"/>
        </w:rPr>
        <w:t>5</w:t>
      </w:r>
      <w:r>
        <w:rPr>
          <w:rFonts w:hint="eastAsia" w:eastAsia="方正仿宋简体"/>
          <w:b/>
          <w:sz w:val="32"/>
          <w:szCs w:val="32"/>
          <w:lang w:eastAsia="zh-CN"/>
        </w:rPr>
        <w:t>）</w:t>
      </w:r>
      <w:r>
        <w:rPr>
          <w:rFonts w:hint="eastAsia" w:eastAsia="方正仿宋简体"/>
          <w:b/>
          <w:sz w:val="32"/>
          <w:szCs w:val="32"/>
        </w:rPr>
        <w:t>承担数字档案馆建设和电子文件备份工作；参与全县档案目录体系建设和管理工作。</w:t>
      </w:r>
      <w:r>
        <w:rPr>
          <w:rFonts w:hint="eastAsia" w:eastAsia="方正仿宋简体"/>
          <w:b/>
          <w:sz w:val="32"/>
          <w:szCs w:val="32"/>
          <w:lang w:eastAsia="zh-CN"/>
        </w:rPr>
        <w:t>（</w:t>
      </w:r>
      <w:r>
        <w:rPr>
          <w:rFonts w:hint="eastAsia" w:eastAsia="方正仿宋简体"/>
          <w:b/>
          <w:sz w:val="32"/>
          <w:szCs w:val="32"/>
        </w:rPr>
        <w:t>6</w:t>
      </w:r>
      <w:r>
        <w:rPr>
          <w:rFonts w:hint="eastAsia" w:eastAsia="方正仿宋简体"/>
          <w:b/>
          <w:sz w:val="32"/>
          <w:szCs w:val="32"/>
          <w:lang w:eastAsia="zh-CN"/>
        </w:rPr>
        <w:t>）</w:t>
      </w:r>
      <w:r>
        <w:rPr>
          <w:rFonts w:hint="eastAsia" w:eastAsia="方正仿宋简体"/>
          <w:b/>
          <w:sz w:val="32"/>
          <w:szCs w:val="32"/>
        </w:rPr>
        <w:t>负责馆藏档案资源、档案文化产品的开发，研究编纂档案史料，开展档案资政服务工作。</w:t>
      </w:r>
      <w:r>
        <w:rPr>
          <w:rFonts w:hint="eastAsia" w:eastAsia="方正仿宋简体"/>
          <w:b/>
          <w:sz w:val="32"/>
          <w:szCs w:val="32"/>
          <w:lang w:eastAsia="zh-CN"/>
        </w:rPr>
        <w:t>（</w:t>
      </w:r>
      <w:r>
        <w:rPr>
          <w:rFonts w:hint="eastAsia" w:eastAsia="方正仿宋简体"/>
          <w:b/>
          <w:sz w:val="32"/>
          <w:szCs w:val="32"/>
        </w:rPr>
        <w:t>7</w:t>
      </w:r>
      <w:r>
        <w:rPr>
          <w:rFonts w:hint="eastAsia" w:eastAsia="方正仿宋简体"/>
          <w:b/>
          <w:sz w:val="32"/>
          <w:szCs w:val="32"/>
          <w:lang w:eastAsia="zh-CN"/>
        </w:rPr>
        <w:t>）</w:t>
      </w:r>
      <w:r>
        <w:rPr>
          <w:rFonts w:hint="eastAsia" w:eastAsia="方正仿宋简体"/>
          <w:b/>
          <w:sz w:val="32"/>
          <w:szCs w:val="32"/>
        </w:rPr>
        <w:t>开展档案学术、科研、馆际合作、业务交流；对各机关档案馆（室）业务进行指导。</w:t>
      </w:r>
    </w:p>
    <w:p>
      <w:pPr>
        <w:pageBreakBefore w:val="0"/>
        <w:widowControl/>
        <w:numPr>
          <w:ilvl w:val="0"/>
          <w:numId w:val="1"/>
        </w:numPr>
        <w:kinsoku/>
        <w:wordWrap/>
        <w:overflowPunct/>
        <w:topLinePunct w:val="0"/>
        <w:bidi w:val="0"/>
        <w:adjustRightInd w:val="0"/>
        <w:snapToGrid w:val="0"/>
        <w:spacing w:line="578" w:lineRule="exact"/>
        <w:ind w:left="0" w:leftChars="0" w:firstLine="643" w:firstLineChars="200"/>
        <w:contextualSpacing/>
        <w:jc w:val="left"/>
        <w:textAlignment w:val="auto"/>
        <w:rPr>
          <w:rFonts w:hint="eastAsia" w:eastAsia="方正仿宋简体"/>
          <w:b/>
          <w:sz w:val="32"/>
          <w:szCs w:val="32"/>
        </w:rPr>
      </w:pPr>
      <w:r>
        <w:rPr>
          <w:rFonts w:hint="eastAsia" w:eastAsia="方正仿宋简体"/>
          <w:b/>
          <w:sz w:val="32"/>
          <w:szCs w:val="32"/>
        </w:rPr>
        <w:t>面向社会提供公益服务的职能</w:t>
      </w:r>
      <w:r>
        <w:rPr>
          <w:rFonts w:hint="eastAsia" w:eastAsia="方正仿宋简体"/>
          <w:b/>
          <w:sz w:val="32"/>
          <w:szCs w:val="32"/>
          <w:lang w:eastAsia="zh-CN"/>
        </w:rPr>
        <w:t>：（</w:t>
      </w:r>
      <w:r>
        <w:rPr>
          <w:rFonts w:hint="eastAsia" w:eastAsia="方正仿宋简体"/>
          <w:b/>
          <w:sz w:val="32"/>
          <w:szCs w:val="32"/>
        </w:rPr>
        <w:t>1</w:t>
      </w:r>
      <w:r>
        <w:rPr>
          <w:rFonts w:hint="eastAsia" w:eastAsia="方正仿宋简体"/>
          <w:b/>
          <w:sz w:val="32"/>
          <w:szCs w:val="32"/>
          <w:lang w:eastAsia="zh-CN"/>
        </w:rPr>
        <w:t>）</w:t>
      </w:r>
      <w:r>
        <w:rPr>
          <w:rFonts w:hint="eastAsia" w:eastAsia="方正仿宋简体"/>
          <w:b/>
          <w:sz w:val="32"/>
          <w:szCs w:val="32"/>
        </w:rPr>
        <w:t>开展档案利用工作，依法向社会提供档案资料和已公开现行文件利用工作，开展民生档案等异地查档跨馆服务。</w:t>
      </w:r>
      <w:r>
        <w:rPr>
          <w:rFonts w:hint="eastAsia" w:eastAsia="方正仿宋简体"/>
          <w:b/>
          <w:sz w:val="32"/>
          <w:szCs w:val="32"/>
          <w:lang w:eastAsia="zh-CN"/>
        </w:rPr>
        <w:t>（</w:t>
      </w:r>
      <w:r>
        <w:rPr>
          <w:rFonts w:hint="eastAsia" w:eastAsia="方正仿宋简体"/>
          <w:b/>
          <w:sz w:val="32"/>
          <w:szCs w:val="32"/>
        </w:rPr>
        <w:t>2</w:t>
      </w:r>
      <w:r>
        <w:rPr>
          <w:rFonts w:hint="eastAsia" w:eastAsia="方正仿宋简体"/>
          <w:b/>
          <w:sz w:val="32"/>
          <w:szCs w:val="32"/>
          <w:lang w:eastAsia="zh-CN"/>
        </w:rPr>
        <w:t>）</w:t>
      </w:r>
      <w:r>
        <w:rPr>
          <w:rFonts w:hint="eastAsia" w:eastAsia="方正仿宋简体"/>
          <w:b/>
          <w:sz w:val="32"/>
          <w:szCs w:val="32"/>
        </w:rPr>
        <w:t>举办档案展览，建设管理爱国主义教育基地，开展档案社会宣传、教育工作。</w:t>
      </w:r>
    </w:p>
    <w:p>
      <w:pPr>
        <w:pageBreakBefore w:val="0"/>
        <w:widowControl/>
        <w:kinsoku/>
        <w:wordWrap/>
        <w:overflowPunct/>
        <w:topLinePunct w:val="0"/>
        <w:bidi w:val="0"/>
        <w:adjustRightInd w:val="0"/>
        <w:snapToGrid w:val="0"/>
        <w:spacing w:line="578" w:lineRule="exact"/>
        <w:ind w:firstLine="643" w:firstLineChars="200"/>
        <w:contextualSpacing/>
        <w:jc w:val="left"/>
        <w:textAlignment w:val="auto"/>
        <w:rPr>
          <w:rFonts w:hint="eastAsia" w:ascii="仿宋" w:hAnsi="仿宋" w:eastAsia="仿宋"/>
          <w:b/>
          <w:bCs/>
          <w:sz w:val="32"/>
          <w:szCs w:val="32"/>
        </w:rPr>
      </w:pPr>
      <w:r>
        <w:rPr>
          <w:rFonts w:hint="eastAsia" w:eastAsia="方正仿宋简体"/>
          <w:b/>
          <w:sz w:val="32"/>
          <w:szCs w:val="32"/>
          <w:lang w:val="en-US" w:eastAsia="zh-CN"/>
        </w:rPr>
        <w:t xml:space="preserve">3. </w:t>
      </w:r>
      <w:r>
        <w:rPr>
          <w:rFonts w:hint="eastAsia" w:eastAsia="方正仿宋简体"/>
          <w:b/>
          <w:sz w:val="32"/>
          <w:szCs w:val="32"/>
        </w:rPr>
        <w:t>完成县委交办的其他任务。</w:t>
      </w:r>
    </w:p>
    <w:p>
      <w:pPr>
        <w:pStyle w:val="3"/>
        <w:pageBreakBefore w:val="0"/>
        <w:kinsoku/>
        <w:wordWrap/>
        <w:overflowPunct/>
        <w:topLinePunct w:val="0"/>
        <w:bidi w:val="0"/>
        <w:spacing w:before="0" w:after="0" w:line="578" w:lineRule="exact"/>
        <w:ind w:firstLine="640" w:firstLineChars="200"/>
        <w:textAlignment w:val="auto"/>
        <w:rPr>
          <w:rStyle w:val="29"/>
          <w:b w:val="0"/>
          <w:bCs w:val="0"/>
          <w:color w:val="auto"/>
          <w:highlight w:val="none"/>
        </w:rPr>
      </w:pPr>
      <w:bookmarkStart w:id="16" w:name="_Toc15396601"/>
      <w:bookmarkStart w:id="17"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29"/>
          <w:rFonts w:hint="eastAsia" w:ascii="黑体" w:hAnsi="黑体" w:eastAsia="黑体"/>
          <w:b w:val="0"/>
          <w:bCs w:val="0"/>
          <w:color w:val="auto"/>
          <w:highlight w:val="none"/>
        </w:rPr>
        <w:t>构设置</w:t>
      </w:r>
      <w:bookmarkEnd w:id="16"/>
      <w:bookmarkEnd w:id="17"/>
    </w:p>
    <w:p>
      <w:pPr>
        <w:pageBreakBefore w:val="0"/>
        <w:kinsoku/>
        <w:wordWrap/>
        <w:overflowPunct/>
        <w:topLinePunct w:val="0"/>
        <w:bidi w:val="0"/>
        <w:spacing w:line="578" w:lineRule="exact"/>
        <w:ind w:firstLine="643" w:firstLineChars="200"/>
        <w:textAlignment w:val="auto"/>
        <w:rPr>
          <w:rFonts w:hint="eastAsia" w:ascii="方正仿宋简体" w:eastAsia="方正仿宋简体"/>
          <w:b/>
          <w:bCs/>
          <w:sz w:val="32"/>
          <w:szCs w:val="32"/>
        </w:rPr>
      </w:pPr>
      <w:r>
        <w:rPr>
          <w:rFonts w:hint="eastAsia" w:ascii="方正仿宋简体" w:eastAsia="方正仿宋简体"/>
          <w:b/>
          <w:bCs/>
          <w:sz w:val="32"/>
          <w:szCs w:val="32"/>
        </w:rPr>
        <w:t>泸县档案馆是一级预算单位，属参公管理事业单位。</w:t>
      </w:r>
      <w:r>
        <w:rPr>
          <w:rFonts w:hint="eastAsia" w:ascii="方正仿宋简体" w:eastAsia="方正仿宋简体"/>
          <w:b/>
          <w:bCs/>
          <w:sz w:val="32"/>
          <w:szCs w:val="32"/>
          <w:lang w:eastAsia="zh-CN"/>
        </w:rPr>
        <w:t>无</w:t>
      </w:r>
      <w:r>
        <w:rPr>
          <w:rFonts w:hint="eastAsia" w:ascii="方正仿宋简体" w:eastAsia="方正仿宋简体"/>
          <w:b/>
          <w:bCs/>
          <w:sz w:val="32"/>
          <w:szCs w:val="32"/>
        </w:rPr>
        <w:t>下属二级</w:t>
      </w:r>
      <w:r>
        <w:rPr>
          <w:rFonts w:hint="eastAsia" w:ascii="方正仿宋简体" w:eastAsia="方正仿宋简体"/>
          <w:b/>
          <w:bCs/>
          <w:sz w:val="32"/>
          <w:szCs w:val="32"/>
          <w:lang w:eastAsia="zh-CN"/>
        </w:rPr>
        <w:t>预算</w:t>
      </w:r>
      <w:r>
        <w:rPr>
          <w:rFonts w:hint="eastAsia" w:ascii="方正仿宋简体" w:eastAsia="方正仿宋简体"/>
          <w:b/>
          <w:bCs/>
          <w:sz w:val="32"/>
          <w:szCs w:val="32"/>
        </w:rPr>
        <w:t>单位。</w:t>
      </w:r>
    </w:p>
    <w:p>
      <w:pPr>
        <w:pageBreakBefore w:val="0"/>
        <w:widowControl/>
        <w:kinsoku/>
        <w:wordWrap/>
        <w:overflowPunct/>
        <w:topLinePunct w:val="0"/>
        <w:bidi w:val="0"/>
        <w:spacing w:line="578" w:lineRule="exact"/>
        <w:jc w:val="left"/>
        <w:textAlignment w:val="auto"/>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2"/>
        <w:pageBreakBefore w:val="0"/>
        <w:kinsoku/>
        <w:wordWrap/>
        <w:overflowPunct/>
        <w:topLinePunct w:val="0"/>
        <w:bidi w:val="0"/>
        <w:spacing w:before="0" w:after="0" w:line="578" w:lineRule="exact"/>
        <w:jc w:val="center"/>
        <w:textAlignment w:val="auto"/>
        <w:rPr>
          <w:rFonts w:hint="eastAsia" w:ascii="方正小标宋简体" w:hAnsi="方正小标宋简体" w:eastAsia="方正小标宋简体" w:cs="方正小标宋简体"/>
          <w:b/>
          <w:bCs w:val="0"/>
          <w:color w:val="auto"/>
          <w:highlight w:val="none"/>
        </w:rPr>
      </w:pPr>
      <w:bookmarkStart w:id="18" w:name="_Toc15396602"/>
      <w:bookmarkStart w:id="19" w:name="_Toc15377204"/>
      <w:r>
        <w:rPr>
          <w:rFonts w:hint="eastAsia" w:ascii="方正小标宋简体" w:hAnsi="方正小标宋简体" w:eastAsia="方正小标宋简体" w:cs="方正小标宋简体"/>
          <w:b/>
          <w:bCs w:val="0"/>
          <w:color w:val="auto"/>
          <w:highlight w:val="none"/>
        </w:rPr>
        <w:t xml:space="preserve">第二部分 </w:t>
      </w:r>
      <w:r>
        <w:rPr>
          <w:rFonts w:hint="eastAsia" w:ascii="方正小标宋简体" w:hAnsi="方正小标宋简体" w:eastAsia="方正小标宋简体" w:cs="方正小标宋简体"/>
          <w:b/>
          <w:bCs w:val="0"/>
          <w:color w:val="auto"/>
          <w:highlight w:val="none"/>
          <w:lang w:val="en-US" w:eastAsia="zh-CN"/>
        </w:rPr>
        <w:t>2022年度</w:t>
      </w:r>
      <w:r>
        <w:rPr>
          <w:rFonts w:hint="eastAsia" w:ascii="方正小标宋简体" w:hAnsi="方正小标宋简体" w:eastAsia="方正小标宋简体" w:cs="方正小标宋简体"/>
          <w:b/>
          <w:bCs w:val="0"/>
          <w:color w:val="auto"/>
          <w:highlight w:val="none"/>
        </w:rPr>
        <w:t>部门决算情况说明</w:t>
      </w:r>
      <w:bookmarkEnd w:id="18"/>
      <w:bookmarkEnd w:id="19"/>
    </w:p>
    <w:p>
      <w:pPr>
        <w:pageBreakBefore w:val="0"/>
        <w:kinsoku/>
        <w:wordWrap/>
        <w:overflowPunct/>
        <w:topLinePunct w:val="0"/>
        <w:bidi w:val="0"/>
        <w:spacing w:line="578" w:lineRule="exact"/>
        <w:textAlignment w:val="auto"/>
        <w:rPr>
          <w:color w:val="auto"/>
          <w:highlight w:val="none"/>
        </w:rPr>
      </w:pPr>
    </w:p>
    <w:p>
      <w:pPr>
        <w:pStyle w:val="27"/>
        <w:pageBreakBefore w:val="0"/>
        <w:numPr>
          <w:ilvl w:val="0"/>
          <w:numId w:val="2"/>
        </w:numPr>
        <w:kinsoku/>
        <w:wordWrap/>
        <w:overflowPunct/>
        <w:topLinePunct w:val="0"/>
        <w:bidi w:val="0"/>
        <w:spacing w:line="578" w:lineRule="exact"/>
        <w:ind w:firstLineChars="0"/>
        <w:textAlignment w:val="auto"/>
        <w:outlineLvl w:val="1"/>
        <w:rPr>
          <w:rStyle w:val="29"/>
          <w:rFonts w:hint="eastAsia" w:ascii="方正黑体简体" w:hAnsi="方正黑体简体" w:eastAsia="方正黑体简体" w:cs="方正黑体简体"/>
          <w:b/>
          <w:bCs/>
          <w:color w:val="auto"/>
          <w:highlight w:val="none"/>
        </w:rPr>
      </w:pPr>
      <w:bookmarkStart w:id="20" w:name="_Toc15377205"/>
      <w:bookmarkStart w:id="21" w:name="_Toc15396603"/>
      <w:r>
        <w:rPr>
          <w:rFonts w:hint="eastAsia" w:ascii="方正黑体简体" w:hAnsi="方正黑体简体" w:eastAsia="方正黑体简体" w:cs="方正黑体简体"/>
          <w:b/>
          <w:bCs/>
          <w:color w:val="auto"/>
          <w:sz w:val="32"/>
          <w:szCs w:val="32"/>
          <w:highlight w:val="none"/>
        </w:rPr>
        <w:t>收</w:t>
      </w:r>
      <w:r>
        <w:rPr>
          <w:rStyle w:val="29"/>
          <w:rFonts w:hint="eastAsia" w:ascii="方正黑体简体" w:hAnsi="方正黑体简体" w:eastAsia="方正黑体简体" w:cs="方正黑体简体"/>
          <w:b/>
          <w:bCs/>
          <w:color w:val="auto"/>
          <w:highlight w:val="none"/>
        </w:rPr>
        <w:t>入支出决算总体情况说明</w:t>
      </w:r>
      <w:bookmarkEnd w:id="20"/>
      <w:bookmarkEnd w:id="21"/>
    </w:p>
    <w:p>
      <w:pPr>
        <w:pageBreakBefore w:val="0"/>
        <w:kinsoku/>
        <w:wordWrap/>
        <w:overflowPunct/>
        <w:topLinePunct w:val="0"/>
        <w:bidi w:val="0"/>
        <w:spacing w:line="578" w:lineRule="exact"/>
        <w:ind w:firstLine="643" w:firstLineChars="200"/>
        <w:textAlignment w:val="auto"/>
        <w:rPr>
          <w:rFonts w:hint="default" w:ascii="Times New Roman" w:hAnsi="Times New Roman" w:eastAsia="方正仿宋简体" w:cs="Times New Roman"/>
          <w:b/>
          <w:bCs/>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年度收</w:t>
      </w:r>
      <w:r>
        <w:rPr>
          <w:rFonts w:hint="eastAsia" w:ascii="Times New Roman" w:hAnsi="Times New Roman" w:eastAsia="方正仿宋简体" w:cs="Times New Roman"/>
          <w:b/>
          <w:bCs/>
          <w:color w:val="auto"/>
          <w:sz w:val="32"/>
          <w:szCs w:val="32"/>
          <w:highlight w:val="none"/>
          <w:lang w:eastAsia="zh-CN"/>
        </w:rPr>
        <w:t>入总结</w:t>
      </w:r>
      <w:r>
        <w:rPr>
          <w:rFonts w:hint="eastAsia" w:ascii="Times New Roman" w:hAnsi="Times New Roman" w:eastAsia="方正仿宋简体" w:cs="Times New Roman"/>
          <w:b/>
          <w:bCs/>
          <w:color w:val="auto"/>
          <w:sz w:val="32"/>
          <w:szCs w:val="32"/>
          <w:highlight w:val="none"/>
          <w:lang w:val="en-US" w:eastAsia="zh-CN"/>
        </w:rPr>
        <w:t>362.02万元，</w:t>
      </w:r>
      <w:r>
        <w:rPr>
          <w:rFonts w:hint="default" w:ascii="Times New Roman" w:hAnsi="Times New Roman" w:eastAsia="方正仿宋简体" w:cs="Times New Roman"/>
          <w:b/>
          <w:bCs/>
          <w:color w:val="auto"/>
          <w:sz w:val="32"/>
          <w:szCs w:val="32"/>
          <w:highlight w:val="none"/>
        </w:rPr>
        <w:t>支</w:t>
      </w:r>
      <w:r>
        <w:rPr>
          <w:rFonts w:hint="eastAsia" w:ascii="Times New Roman" w:hAnsi="Times New Roman" w:eastAsia="方正仿宋简体" w:cs="Times New Roman"/>
          <w:b/>
          <w:bCs/>
          <w:color w:val="auto"/>
          <w:sz w:val="32"/>
          <w:szCs w:val="32"/>
          <w:highlight w:val="none"/>
          <w:lang w:eastAsia="zh-CN"/>
        </w:rPr>
        <w:t>出</w:t>
      </w:r>
      <w:r>
        <w:rPr>
          <w:rFonts w:hint="default" w:ascii="Times New Roman" w:hAnsi="Times New Roman" w:eastAsia="方正仿宋简体" w:cs="Times New Roman"/>
          <w:b/>
          <w:bCs/>
          <w:color w:val="auto"/>
          <w:sz w:val="32"/>
          <w:szCs w:val="32"/>
          <w:highlight w:val="none"/>
        </w:rPr>
        <w:t>总计</w:t>
      </w:r>
      <w:r>
        <w:rPr>
          <w:rFonts w:hint="eastAsia" w:ascii="Times New Roman" w:hAnsi="Times New Roman" w:eastAsia="方正仿宋简体" w:cs="Times New Roman"/>
          <w:b/>
          <w:bCs/>
          <w:color w:val="auto"/>
          <w:sz w:val="32"/>
          <w:szCs w:val="32"/>
          <w:highlight w:val="none"/>
          <w:lang w:val="en-US" w:eastAsia="zh-CN"/>
        </w:rPr>
        <w:t>362.02</w:t>
      </w:r>
      <w:r>
        <w:rPr>
          <w:rFonts w:hint="default" w:ascii="Times New Roman" w:hAnsi="Times New Roman" w:eastAsia="方正仿宋简体" w:cs="Times New Roman"/>
          <w:b/>
          <w:bCs/>
          <w:color w:val="auto"/>
          <w:sz w:val="32"/>
          <w:szCs w:val="32"/>
          <w:highlight w:val="none"/>
        </w:rPr>
        <w:t>万元</w:t>
      </w:r>
      <w:r>
        <w:rPr>
          <w:rFonts w:hint="eastAsia" w:eastAsia="方正仿宋简体" w:cs="Times New Roman"/>
          <w:b/>
          <w:bCs/>
          <w:color w:val="auto"/>
          <w:sz w:val="32"/>
          <w:szCs w:val="32"/>
          <w:highlight w:val="none"/>
          <w:lang w:eastAsia="zh-CN"/>
        </w:rPr>
        <w:t>，</w:t>
      </w:r>
      <w:r>
        <w:rPr>
          <w:rFonts w:hint="eastAsia" w:ascii="Times New Roman" w:hAnsi="Times New Roman" w:eastAsia="方正仿宋简体" w:cs="Times New Roman"/>
          <w:b/>
          <w:bCs/>
          <w:color w:val="auto"/>
          <w:sz w:val="32"/>
          <w:szCs w:val="32"/>
          <w:highlight w:val="none"/>
          <w:lang w:val="en-US" w:eastAsia="zh-CN"/>
        </w:rPr>
        <w:t>其中上年结转结余10.13万元。</w:t>
      </w:r>
      <w:r>
        <w:rPr>
          <w:rFonts w:hint="default" w:ascii="Times New Roman" w:hAnsi="Times New Roman" w:eastAsia="方正仿宋简体" w:cs="Times New Roman"/>
          <w:b/>
          <w:bCs/>
          <w:color w:val="auto"/>
          <w:sz w:val="32"/>
          <w:szCs w:val="32"/>
          <w:highlight w:val="none"/>
        </w:rPr>
        <w:t>与20</w:t>
      </w:r>
      <w:r>
        <w:rPr>
          <w:rFonts w:hint="default" w:ascii="Times New Roman" w:hAnsi="Times New Roman" w:eastAsia="方正仿宋简体" w:cs="Times New Roman"/>
          <w:b/>
          <w:bCs/>
          <w:color w:val="auto"/>
          <w:sz w:val="32"/>
          <w:szCs w:val="32"/>
          <w:highlight w:val="none"/>
          <w:lang w:val="en-US" w:eastAsia="zh-CN"/>
        </w:rPr>
        <w:t>21</w:t>
      </w:r>
      <w:r>
        <w:rPr>
          <w:rFonts w:hint="default" w:ascii="Times New Roman" w:hAnsi="Times New Roman" w:eastAsia="方正仿宋简体" w:cs="Times New Roman"/>
          <w:b/>
          <w:bCs/>
          <w:color w:val="auto"/>
          <w:sz w:val="32"/>
          <w:szCs w:val="32"/>
          <w:highlight w:val="none"/>
        </w:rPr>
        <w:t>年相比，收、支总计各减少</w:t>
      </w:r>
      <w:r>
        <w:rPr>
          <w:rFonts w:hint="eastAsia" w:ascii="Times New Roman" w:hAnsi="Times New Roman" w:eastAsia="方正仿宋简体" w:cs="Times New Roman"/>
          <w:b/>
          <w:bCs/>
          <w:color w:val="auto"/>
          <w:sz w:val="32"/>
          <w:szCs w:val="32"/>
          <w:highlight w:val="none"/>
          <w:lang w:val="en-US" w:eastAsia="zh-CN"/>
        </w:rPr>
        <w:t>4231</w:t>
      </w:r>
      <w:r>
        <w:rPr>
          <w:rFonts w:hint="default" w:ascii="Times New Roman" w:hAnsi="Times New Roman" w:eastAsia="方正仿宋简体" w:cs="Times New Roman"/>
          <w:b/>
          <w:bCs/>
          <w:color w:val="auto"/>
          <w:sz w:val="32"/>
          <w:szCs w:val="32"/>
          <w:highlight w:val="none"/>
        </w:rPr>
        <w:t>万元，下降</w:t>
      </w:r>
      <w:r>
        <w:rPr>
          <w:rFonts w:hint="eastAsia" w:ascii="Times New Roman" w:hAnsi="Times New Roman" w:eastAsia="方正仿宋简体" w:cs="Times New Roman"/>
          <w:b/>
          <w:bCs/>
          <w:color w:val="auto"/>
          <w:sz w:val="32"/>
          <w:szCs w:val="32"/>
          <w:highlight w:val="none"/>
          <w:lang w:val="en-US" w:eastAsia="zh-CN"/>
        </w:rPr>
        <w:t>92.12</w:t>
      </w:r>
      <w:r>
        <w:rPr>
          <w:rFonts w:hint="default" w:ascii="Times New Roman" w:hAnsi="Times New Roman" w:eastAsia="方正仿宋简体" w:cs="Times New Roman"/>
          <w:b/>
          <w:bCs/>
          <w:color w:val="auto"/>
          <w:sz w:val="32"/>
          <w:szCs w:val="32"/>
          <w:highlight w:val="none"/>
        </w:rPr>
        <w:t>%。主要变动原因是</w:t>
      </w:r>
      <w:r>
        <w:rPr>
          <w:rFonts w:hint="eastAsia" w:ascii="Times New Roman" w:hAnsi="Times New Roman" w:eastAsia="方正仿宋简体" w:cs="Times New Roman"/>
          <w:b/>
          <w:bCs/>
          <w:color w:val="auto"/>
          <w:sz w:val="32"/>
          <w:szCs w:val="32"/>
          <w:highlight w:val="none"/>
          <w:lang w:eastAsia="zh-CN"/>
        </w:rPr>
        <w:t>减少了泸县综合档案馆修建经费的收入和支出</w:t>
      </w:r>
      <w:r>
        <w:rPr>
          <w:rFonts w:hint="default" w:ascii="Times New Roman" w:hAnsi="Times New Roman" w:eastAsia="方正仿宋简体" w:cs="Times New Roman"/>
          <w:b/>
          <w:bCs/>
          <w:color w:val="auto"/>
          <w:sz w:val="32"/>
          <w:szCs w:val="32"/>
          <w:highlight w:val="none"/>
          <w:lang w:eastAsia="zh-CN"/>
        </w:rPr>
        <w:t>。</w:t>
      </w:r>
    </w:p>
    <w:p>
      <w:pPr>
        <w:pStyle w:val="27"/>
        <w:pageBreakBefore w:val="0"/>
        <w:numPr>
          <w:ilvl w:val="0"/>
          <w:numId w:val="2"/>
        </w:numPr>
        <w:kinsoku/>
        <w:wordWrap/>
        <w:overflowPunct/>
        <w:topLinePunct w:val="0"/>
        <w:bidi w:val="0"/>
        <w:spacing w:line="578" w:lineRule="exact"/>
        <w:ind w:firstLineChars="0"/>
        <w:textAlignment w:val="auto"/>
        <w:outlineLvl w:val="1"/>
        <w:rPr>
          <w:rFonts w:hint="eastAsia" w:ascii="方正黑体简体" w:hAnsi="方正黑体简体" w:eastAsia="方正黑体简体" w:cs="方正黑体简体"/>
          <w:b/>
          <w:bCs/>
          <w:color w:val="auto"/>
          <w:sz w:val="32"/>
          <w:szCs w:val="32"/>
          <w:highlight w:val="none"/>
        </w:rPr>
      </w:pPr>
      <w:bookmarkStart w:id="22" w:name="_Toc15396604"/>
      <w:bookmarkStart w:id="23" w:name="_Toc15377206"/>
      <w:r>
        <w:rPr>
          <w:rFonts w:hint="eastAsia" w:ascii="方正黑体简体" w:hAnsi="方正黑体简体" w:eastAsia="方正黑体简体" w:cs="方正黑体简体"/>
          <w:b/>
          <w:bCs/>
          <w:color w:val="auto"/>
          <w:sz w:val="32"/>
          <w:szCs w:val="32"/>
          <w:highlight w:val="none"/>
        </w:rPr>
        <w:t>收入决算情况说明</w:t>
      </w:r>
      <w:bookmarkEnd w:id="22"/>
      <w:bookmarkEnd w:id="23"/>
    </w:p>
    <w:p>
      <w:pPr>
        <w:pageBreakBefore w:val="0"/>
        <w:kinsoku/>
        <w:wordWrap/>
        <w:overflowPunct/>
        <w:topLinePunct w:val="0"/>
        <w:bidi w:val="0"/>
        <w:spacing w:line="578"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年收入</w:t>
      </w:r>
      <w:r>
        <w:rPr>
          <w:rFonts w:hint="eastAsia" w:eastAsia="方正仿宋简体" w:cs="Times New Roman"/>
          <w:b/>
          <w:bCs/>
          <w:color w:val="auto"/>
          <w:sz w:val="32"/>
          <w:szCs w:val="32"/>
          <w:highlight w:val="none"/>
          <w:lang w:eastAsia="zh-CN"/>
        </w:rPr>
        <w:t>总</w:t>
      </w:r>
      <w:r>
        <w:rPr>
          <w:rFonts w:hint="eastAsia" w:ascii="Times New Roman" w:hAnsi="Times New Roman" w:eastAsia="方正仿宋简体" w:cs="Times New Roman"/>
          <w:b/>
          <w:bCs/>
          <w:color w:val="auto"/>
          <w:sz w:val="32"/>
          <w:szCs w:val="32"/>
          <w:highlight w:val="none"/>
        </w:rPr>
        <w:t>计</w:t>
      </w:r>
      <w:r>
        <w:rPr>
          <w:rFonts w:hint="eastAsia" w:eastAsia="方正仿宋简体" w:cs="Times New Roman"/>
          <w:b/>
          <w:bCs/>
          <w:color w:val="auto"/>
          <w:sz w:val="32"/>
          <w:szCs w:val="32"/>
          <w:highlight w:val="none"/>
          <w:lang w:val="en-US" w:eastAsia="zh-CN"/>
        </w:rPr>
        <w:t>362.02</w:t>
      </w:r>
      <w:r>
        <w:rPr>
          <w:rFonts w:hint="eastAsia" w:ascii="Times New Roman" w:hAnsi="Times New Roman" w:eastAsia="方正仿宋简体" w:cs="Times New Roman"/>
          <w:b/>
          <w:bCs/>
          <w:color w:val="auto"/>
          <w:sz w:val="32"/>
          <w:szCs w:val="32"/>
          <w:highlight w:val="none"/>
        </w:rPr>
        <w:t>万元</w:t>
      </w:r>
      <w:r>
        <w:rPr>
          <w:rFonts w:hint="eastAsia" w:eastAsia="方正仿宋简体" w:cs="Times New Roman"/>
          <w:b/>
          <w:bCs/>
          <w:color w:val="auto"/>
          <w:sz w:val="32"/>
          <w:szCs w:val="32"/>
          <w:highlight w:val="none"/>
          <w:lang w:eastAsia="zh-CN"/>
        </w:rPr>
        <w:t>（其中上年结转结余</w:t>
      </w:r>
      <w:r>
        <w:rPr>
          <w:rFonts w:hint="eastAsia" w:eastAsia="方正仿宋简体" w:cs="Times New Roman"/>
          <w:b/>
          <w:bCs/>
          <w:color w:val="auto"/>
          <w:sz w:val="32"/>
          <w:szCs w:val="32"/>
          <w:highlight w:val="none"/>
          <w:lang w:val="en-US" w:eastAsia="zh-CN"/>
        </w:rPr>
        <w:t>10.13万元</w:t>
      </w:r>
      <w:r>
        <w:rPr>
          <w:rFonts w:hint="eastAsia" w:eastAsia="方正仿宋简体" w:cs="Times New Roman"/>
          <w:b/>
          <w:bCs/>
          <w:color w:val="auto"/>
          <w:sz w:val="32"/>
          <w:szCs w:val="32"/>
          <w:highlight w:val="none"/>
          <w:lang w:eastAsia="zh-CN"/>
        </w:rPr>
        <w:t>）</w:t>
      </w:r>
      <w:r>
        <w:rPr>
          <w:rFonts w:hint="eastAsia" w:ascii="Times New Roman" w:hAnsi="Times New Roman" w:eastAsia="方正仿宋简体" w:cs="Times New Roman"/>
          <w:b/>
          <w:bCs/>
          <w:color w:val="auto"/>
          <w:sz w:val="32"/>
          <w:szCs w:val="32"/>
          <w:highlight w:val="none"/>
        </w:rPr>
        <w:t>，</w:t>
      </w:r>
      <w:r>
        <w:rPr>
          <w:rFonts w:hint="eastAsia" w:eastAsia="方正仿宋简体" w:cs="Times New Roman"/>
          <w:b/>
          <w:bCs/>
          <w:color w:val="auto"/>
          <w:sz w:val="32"/>
          <w:szCs w:val="32"/>
          <w:highlight w:val="none"/>
          <w:lang w:eastAsia="zh-CN"/>
        </w:rPr>
        <w:t>全部为</w:t>
      </w:r>
      <w:r>
        <w:rPr>
          <w:rFonts w:hint="eastAsia" w:ascii="Times New Roman" w:hAnsi="Times New Roman" w:eastAsia="方正仿宋简体" w:cs="Times New Roman"/>
          <w:b/>
          <w:bCs/>
          <w:color w:val="auto"/>
          <w:sz w:val="32"/>
          <w:szCs w:val="32"/>
          <w:highlight w:val="none"/>
        </w:rPr>
        <w:t>一般公共预算财政拨款收入</w:t>
      </w:r>
      <w:r>
        <w:rPr>
          <w:rFonts w:hint="eastAsia" w:eastAsia="方正仿宋简体" w:cs="Times New Roman"/>
          <w:b/>
          <w:bCs/>
          <w:color w:val="auto"/>
          <w:sz w:val="32"/>
          <w:szCs w:val="32"/>
          <w:highlight w:val="none"/>
          <w:lang w:val="en-US" w:eastAsia="zh-CN"/>
        </w:rPr>
        <w:t>362.02</w:t>
      </w:r>
      <w:r>
        <w:rPr>
          <w:rFonts w:hint="eastAsia" w:ascii="Times New Roman" w:hAnsi="Times New Roman" w:eastAsia="方正仿宋简体" w:cs="Times New Roman"/>
          <w:b/>
          <w:bCs/>
          <w:color w:val="auto"/>
          <w:sz w:val="32"/>
          <w:szCs w:val="32"/>
          <w:highlight w:val="none"/>
        </w:rPr>
        <w:t>万元，占</w:t>
      </w:r>
      <w:r>
        <w:rPr>
          <w:rFonts w:hint="eastAsia" w:eastAsia="方正仿宋简体" w:cs="Times New Roman"/>
          <w:b/>
          <w:bCs/>
          <w:color w:val="auto"/>
          <w:sz w:val="32"/>
          <w:szCs w:val="32"/>
          <w:highlight w:val="none"/>
          <w:lang w:val="en-US" w:eastAsia="zh-CN"/>
        </w:rPr>
        <w:t>100</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w:t>
      </w:r>
    </w:p>
    <w:p>
      <w:pPr>
        <w:pStyle w:val="27"/>
        <w:pageBreakBefore w:val="0"/>
        <w:numPr>
          <w:ilvl w:val="0"/>
          <w:numId w:val="2"/>
        </w:numPr>
        <w:kinsoku/>
        <w:wordWrap/>
        <w:overflowPunct/>
        <w:topLinePunct w:val="0"/>
        <w:bidi w:val="0"/>
        <w:spacing w:line="578" w:lineRule="exact"/>
        <w:ind w:firstLineChars="0"/>
        <w:textAlignment w:val="auto"/>
        <w:outlineLvl w:val="1"/>
        <w:rPr>
          <w:rFonts w:hint="eastAsia" w:ascii="方正黑体简体" w:hAnsi="方正黑体简体" w:eastAsia="方正黑体简体" w:cs="方正黑体简体"/>
          <w:b/>
          <w:bCs/>
          <w:color w:val="auto"/>
          <w:sz w:val="32"/>
          <w:szCs w:val="32"/>
          <w:highlight w:val="none"/>
        </w:rPr>
      </w:pPr>
      <w:bookmarkStart w:id="24" w:name="_Toc15377207"/>
      <w:bookmarkStart w:id="25" w:name="_Toc15396605"/>
      <w:r>
        <w:rPr>
          <w:rFonts w:hint="eastAsia" w:ascii="方正黑体简体" w:hAnsi="方正黑体简体" w:eastAsia="方正黑体简体" w:cs="方正黑体简体"/>
          <w:b/>
          <w:bCs/>
          <w:color w:val="auto"/>
          <w:sz w:val="32"/>
          <w:szCs w:val="32"/>
          <w:highlight w:val="none"/>
        </w:rPr>
        <w:t>支出决算情况说明</w:t>
      </w:r>
      <w:bookmarkEnd w:id="24"/>
      <w:bookmarkEnd w:id="25"/>
    </w:p>
    <w:p>
      <w:pPr>
        <w:pageBreakBefore w:val="0"/>
        <w:kinsoku/>
        <w:wordWrap/>
        <w:overflowPunct/>
        <w:topLinePunct w:val="0"/>
        <w:bidi w:val="0"/>
        <w:spacing w:line="578"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年本年支出合计</w:t>
      </w:r>
      <w:r>
        <w:rPr>
          <w:rFonts w:hint="eastAsia" w:eastAsia="方正仿宋简体" w:cs="Times New Roman"/>
          <w:b/>
          <w:bCs/>
          <w:color w:val="auto"/>
          <w:sz w:val="32"/>
          <w:szCs w:val="32"/>
          <w:highlight w:val="none"/>
          <w:lang w:val="en-US" w:eastAsia="zh-CN"/>
        </w:rPr>
        <w:t>362.02</w:t>
      </w:r>
      <w:r>
        <w:rPr>
          <w:rFonts w:hint="eastAsia" w:ascii="Times New Roman" w:hAnsi="Times New Roman" w:eastAsia="方正仿宋简体" w:cs="Times New Roman"/>
          <w:b/>
          <w:bCs/>
          <w:color w:val="auto"/>
          <w:sz w:val="32"/>
          <w:szCs w:val="32"/>
          <w:highlight w:val="none"/>
        </w:rPr>
        <w:t>万元，其中：基本支出</w:t>
      </w:r>
      <w:r>
        <w:rPr>
          <w:rFonts w:hint="eastAsia" w:eastAsia="方正仿宋简体" w:cs="Times New Roman"/>
          <w:b/>
          <w:bCs/>
          <w:color w:val="auto"/>
          <w:sz w:val="32"/>
          <w:szCs w:val="32"/>
          <w:highlight w:val="none"/>
          <w:lang w:val="en-US" w:eastAsia="zh-CN"/>
        </w:rPr>
        <w:t>277.07</w:t>
      </w:r>
      <w:r>
        <w:rPr>
          <w:rFonts w:hint="eastAsia" w:ascii="Times New Roman" w:hAnsi="Times New Roman" w:eastAsia="方正仿宋简体" w:cs="Times New Roman"/>
          <w:b/>
          <w:bCs/>
          <w:color w:val="auto"/>
          <w:sz w:val="32"/>
          <w:szCs w:val="32"/>
          <w:highlight w:val="none"/>
        </w:rPr>
        <w:t>万元，占</w:t>
      </w:r>
      <w:r>
        <w:rPr>
          <w:rFonts w:hint="eastAsia" w:eastAsia="方正仿宋简体" w:cs="Times New Roman"/>
          <w:b/>
          <w:bCs/>
          <w:color w:val="auto"/>
          <w:sz w:val="32"/>
          <w:szCs w:val="32"/>
          <w:highlight w:val="none"/>
          <w:lang w:val="en-US" w:eastAsia="zh-CN"/>
        </w:rPr>
        <w:t>76.53</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；项目支出</w:t>
      </w:r>
      <w:r>
        <w:rPr>
          <w:rFonts w:hint="eastAsia" w:eastAsia="方正仿宋简体" w:cs="Times New Roman"/>
          <w:b/>
          <w:bCs/>
          <w:color w:val="auto"/>
          <w:sz w:val="32"/>
          <w:szCs w:val="32"/>
          <w:highlight w:val="none"/>
          <w:lang w:val="en-US" w:eastAsia="zh-CN"/>
        </w:rPr>
        <w:t>84.95</w:t>
      </w:r>
      <w:r>
        <w:rPr>
          <w:rFonts w:hint="eastAsia" w:ascii="Times New Roman" w:hAnsi="Times New Roman" w:eastAsia="方正仿宋简体" w:cs="Times New Roman"/>
          <w:b/>
          <w:bCs/>
          <w:color w:val="auto"/>
          <w:sz w:val="32"/>
          <w:szCs w:val="32"/>
          <w:highlight w:val="none"/>
        </w:rPr>
        <w:t>万元，占</w:t>
      </w:r>
      <w:r>
        <w:rPr>
          <w:rFonts w:hint="eastAsia" w:eastAsia="方正仿宋简体" w:cs="Times New Roman"/>
          <w:b/>
          <w:bCs/>
          <w:color w:val="auto"/>
          <w:sz w:val="32"/>
          <w:szCs w:val="32"/>
          <w:highlight w:val="none"/>
          <w:lang w:val="en-US" w:eastAsia="zh-CN"/>
        </w:rPr>
        <w:t>23.47</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w:t>
      </w:r>
    </w:p>
    <w:p>
      <w:pPr>
        <w:pStyle w:val="27"/>
        <w:pageBreakBefore w:val="0"/>
        <w:numPr>
          <w:ilvl w:val="0"/>
          <w:numId w:val="2"/>
        </w:numPr>
        <w:kinsoku/>
        <w:wordWrap/>
        <w:overflowPunct/>
        <w:topLinePunct w:val="0"/>
        <w:bidi w:val="0"/>
        <w:spacing w:line="578" w:lineRule="exact"/>
        <w:ind w:firstLineChars="0"/>
        <w:textAlignment w:val="auto"/>
        <w:outlineLvl w:val="1"/>
        <w:rPr>
          <w:rFonts w:hint="eastAsia" w:ascii="方正黑体简体" w:hAnsi="方正黑体简体" w:eastAsia="方正黑体简体" w:cs="方正黑体简体"/>
          <w:b/>
          <w:bCs/>
          <w:color w:val="auto"/>
          <w:sz w:val="32"/>
          <w:szCs w:val="32"/>
          <w:highlight w:val="none"/>
        </w:rPr>
      </w:pPr>
      <w:bookmarkStart w:id="26" w:name="_Toc15377208"/>
      <w:bookmarkStart w:id="27" w:name="_Toc15396606"/>
      <w:r>
        <w:rPr>
          <w:rFonts w:hint="eastAsia" w:ascii="方正黑体简体" w:hAnsi="方正黑体简体" w:eastAsia="方正黑体简体" w:cs="方正黑体简体"/>
          <w:b/>
          <w:bCs/>
          <w:color w:val="auto"/>
          <w:sz w:val="32"/>
          <w:szCs w:val="32"/>
          <w:highlight w:val="none"/>
        </w:rPr>
        <w:t>财政拨款收入支出决算总体情况说明</w:t>
      </w:r>
      <w:bookmarkEnd w:id="26"/>
      <w:bookmarkEnd w:id="27"/>
    </w:p>
    <w:p>
      <w:pPr>
        <w:pageBreakBefore w:val="0"/>
        <w:kinsoku/>
        <w:wordWrap/>
        <w:overflowPunct/>
        <w:topLinePunct w:val="0"/>
        <w:bidi w:val="0"/>
        <w:spacing w:line="578"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年财政拨款收</w:t>
      </w:r>
      <w:r>
        <w:rPr>
          <w:rFonts w:hint="eastAsia" w:eastAsia="方正仿宋简体" w:cs="Times New Roman"/>
          <w:b/>
          <w:bCs/>
          <w:color w:val="auto"/>
          <w:sz w:val="32"/>
          <w:szCs w:val="32"/>
          <w:highlight w:val="none"/>
          <w:lang w:eastAsia="zh-CN"/>
        </w:rPr>
        <w:t>入</w:t>
      </w:r>
      <w:r>
        <w:rPr>
          <w:rFonts w:hint="eastAsia" w:eastAsia="方正仿宋简体" w:cs="Times New Roman"/>
          <w:b/>
          <w:bCs/>
          <w:color w:val="auto"/>
          <w:sz w:val="32"/>
          <w:szCs w:val="32"/>
          <w:highlight w:val="none"/>
          <w:lang w:val="en-US" w:eastAsia="zh-CN"/>
        </w:rPr>
        <w:t>362.02万元，</w:t>
      </w:r>
      <w:r>
        <w:rPr>
          <w:rFonts w:hint="eastAsia" w:ascii="Times New Roman" w:hAnsi="Times New Roman" w:eastAsia="方正仿宋简体" w:cs="Times New Roman"/>
          <w:b/>
          <w:bCs/>
          <w:color w:val="auto"/>
          <w:sz w:val="32"/>
          <w:szCs w:val="32"/>
          <w:highlight w:val="none"/>
        </w:rPr>
        <w:t>支</w:t>
      </w:r>
      <w:r>
        <w:rPr>
          <w:rFonts w:hint="eastAsia" w:eastAsia="方正仿宋简体" w:cs="Times New Roman"/>
          <w:b/>
          <w:bCs/>
          <w:color w:val="auto"/>
          <w:sz w:val="32"/>
          <w:szCs w:val="32"/>
          <w:highlight w:val="none"/>
          <w:lang w:eastAsia="zh-CN"/>
        </w:rPr>
        <w:t>出</w:t>
      </w:r>
      <w:r>
        <w:rPr>
          <w:rFonts w:hint="eastAsia" w:eastAsia="方正仿宋简体" w:cs="Times New Roman"/>
          <w:b/>
          <w:bCs/>
          <w:color w:val="auto"/>
          <w:sz w:val="32"/>
          <w:szCs w:val="32"/>
          <w:highlight w:val="none"/>
          <w:lang w:val="en-US" w:eastAsia="zh-CN"/>
        </w:rPr>
        <w:t>362.02</w:t>
      </w:r>
      <w:r>
        <w:rPr>
          <w:rFonts w:hint="eastAsia" w:ascii="Times New Roman" w:hAnsi="Times New Roman" w:eastAsia="方正仿宋简体" w:cs="Times New Roman"/>
          <w:b/>
          <w:bCs/>
          <w:color w:val="auto"/>
          <w:sz w:val="32"/>
          <w:szCs w:val="32"/>
          <w:highlight w:val="none"/>
        </w:rPr>
        <w:t>万元。与</w:t>
      </w:r>
      <w:r>
        <w:rPr>
          <w:rFonts w:hint="default"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21</w:t>
      </w:r>
      <w:r>
        <w:rPr>
          <w:rFonts w:hint="eastAsia" w:ascii="Times New Roman" w:hAnsi="Times New Roman" w:eastAsia="方正仿宋简体" w:cs="Times New Roman"/>
          <w:b/>
          <w:bCs/>
          <w:color w:val="auto"/>
          <w:sz w:val="32"/>
          <w:szCs w:val="32"/>
          <w:highlight w:val="none"/>
        </w:rPr>
        <w:t>年相比，财政拨款收、支总计各减少</w:t>
      </w:r>
      <w:r>
        <w:rPr>
          <w:rFonts w:hint="eastAsia" w:eastAsia="方正仿宋简体" w:cs="Times New Roman"/>
          <w:b/>
          <w:bCs/>
          <w:color w:val="auto"/>
          <w:sz w:val="32"/>
          <w:szCs w:val="32"/>
          <w:highlight w:val="none"/>
          <w:lang w:val="en-US" w:eastAsia="zh-CN"/>
        </w:rPr>
        <w:t>4231</w:t>
      </w:r>
      <w:r>
        <w:rPr>
          <w:rFonts w:hint="eastAsia" w:ascii="Times New Roman" w:hAnsi="Times New Roman" w:eastAsia="方正仿宋简体" w:cs="Times New Roman"/>
          <w:b/>
          <w:bCs/>
          <w:color w:val="auto"/>
          <w:sz w:val="32"/>
          <w:szCs w:val="32"/>
          <w:highlight w:val="none"/>
        </w:rPr>
        <w:t>万元，</w:t>
      </w:r>
      <w:r>
        <w:rPr>
          <w:rFonts w:hint="default" w:ascii="Times New Roman" w:hAnsi="Times New Roman" w:eastAsia="方正仿宋简体" w:cs="Times New Roman"/>
          <w:b/>
          <w:bCs/>
          <w:color w:val="auto"/>
          <w:sz w:val="32"/>
          <w:szCs w:val="32"/>
          <w:highlight w:val="none"/>
        </w:rPr>
        <w:t>下降</w:t>
      </w:r>
      <w:r>
        <w:rPr>
          <w:rFonts w:hint="eastAsia" w:ascii="Times New Roman" w:hAnsi="Times New Roman" w:eastAsia="方正仿宋简体" w:cs="Times New Roman"/>
          <w:b/>
          <w:bCs/>
          <w:color w:val="auto"/>
          <w:sz w:val="32"/>
          <w:szCs w:val="32"/>
          <w:highlight w:val="none"/>
          <w:lang w:val="en-US" w:eastAsia="zh-CN"/>
        </w:rPr>
        <w:t>92.12</w:t>
      </w:r>
      <w:r>
        <w:rPr>
          <w:rFonts w:hint="default" w:ascii="Times New Roman" w:hAnsi="Times New Roman" w:eastAsia="方正仿宋简体" w:cs="Times New Roman"/>
          <w:b/>
          <w:bCs/>
          <w:color w:val="auto"/>
          <w:sz w:val="32"/>
          <w:szCs w:val="32"/>
          <w:highlight w:val="none"/>
        </w:rPr>
        <w:t>%。主要变动原因是</w:t>
      </w:r>
      <w:r>
        <w:rPr>
          <w:rFonts w:hint="eastAsia" w:ascii="Times New Roman" w:hAnsi="Times New Roman" w:eastAsia="方正仿宋简体" w:cs="Times New Roman"/>
          <w:b/>
          <w:bCs/>
          <w:color w:val="auto"/>
          <w:sz w:val="32"/>
          <w:szCs w:val="32"/>
          <w:highlight w:val="none"/>
          <w:lang w:eastAsia="zh-CN"/>
        </w:rPr>
        <w:t>减少了泸县综合档案馆修建经费的收入和支出</w:t>
      </w:r>
      <w:r>
        <w:rPr>
          <w:rFonts w:hint="default" w:ascii="Times New Roman" w:hAnsi="Times New Roman" w:eastAsia="方正仿宋简体" w:cs="Times New Roman"/>
          <w:b/>
          <w:bCs/>
          <w:color w:val="auto"/>
          <w:sz w:val="32"/>
          <w:szCs w:val="32"/>
          <w:highlight w:val="none"/>
          <w:lang w:eastAsia="zh-CN"/>
        </w:rPr>
        <w:t>。</w:t>
      </w:r>
    </w:p>
    <w:p>
      <w:pPr>
        <w:pStyle w:val="27"/>
        <w:pageBreakBefore w:val="0"/>
        <w:numPr>
          <w:ilvl w:val="0"/>
          <w:numId w:val="2"/>
        </w:numPr>
        <w:kinsoku/>
        <w:wordWrap/>
        <w:overflowPunct/>
        <w:topLinePunct w:val="0"/>
        <w:bidi w:val="0"/>
        <w:spacing w:line="578" w:lineRule="exact"/>
        <w:ind w:firstLineChars="0"/>
        <w:textAlignment w:val="auto"/>
        <w:outlineLvl w:val="1"/>
        <w:rPr>
          <w:rFonts w:hint="eastAsia" w:ascii="方正黑体简体" w:hAnsi="方正黑体简体" w:eastAsia="方正黑体简体" w:cs="方正黑体简体"/>
          <w:b/>
          <w:bCs/>
          <w:color w:val="auto"/>
          <w:sz w:val="32"/>
          <w:szCs w:val="32"/>
          <w:highlight w:val="none"/>
        </w:rPr>
      </w:pPr>
      <w:bookmarkStart w:id="28" w:name="_Toc15396607"/>
      <w:bookmarkStart w:id="29" w:name="_Toc15377209"/>
      <w:r>
        <w:rPr>
          <w:rFonts w:hint="eastAsia" w:ascii="方正黑体简体" w:hAnsi="方正黑体简体" w:eastAsia="方正黑体简体" w:cs="方正黑体简体"/>
          <w:b/>
          <w:bCs/>
          <w:color w:val="auto"/>
          <w:sz w:val="32"/>
          <w:szCs w:val="32"/>
          <w:highlight w:val="none"/>
        </w:rPr>
        <w:t>一般公共预算财政拨款支出决算情况说明</w:t>
      </w:r>
      <w:bookmarkEnd w:id="28"/>
      <w:bookmarkEnd w:id="29"/>
    </w:p>
    <w:p>
      <w:pPr>
        <w:pageBreakBefore w:val="0"/>
        <w:kinsoku/>
        <w:wordWrap/>
        <w:overflowPunct/>
        <w:topLinePunct w:val="0"/>
        <w:bidi w:val="0"/>
        <w:spacing w:line="578" w:lineRule="exact"/>
        <w:ind w:firstLine="643" w:firstLineChars="200"/>
        <w:textAlignment w:val="auto"/>
        <w:outlineLvl w:val="2"/>
        <w:rPr>
          <w:rFonts w:hint="eastAsia" w:ascii="方正楷体简体" w:hAnsi="方正楷体简体" w:eastAsia="方正楷体简体" w:cs="方正楷体简体"/>
          <w:b/>
          <w:color w:val="auto"/>
          <w:sz w:val="32"/>
          <w:szCs w:val="32"/>
          <w:highlight w:val="none"/>
        </w:rPr>
      </w:pPr>
      <w:bookmarkStart w:id="30" w:name="_Toc15377210"/>
      <w:r>
        <w:rPr>
          <w:rFonts w:hint="eastAsia" w:ascii="方正楷体简体" w:hAnsi="方正楷体简体" w:eastAsia="方正楷体简体" w:cs="方正楷体简体"/>
          <w:b/>
          <w:color w:val="auto"/>
          <w:sz w:val="32"/>
          <w:szCs w:val="32"/>
          <w:highlight w:val="none"/>
        </w:rPr>
        <w:t>（一）一般公共预算财政拨款支出决算总体情况</w:t>
      </w:r>
      <w:bookmarkEnd w:id="30"/>
    </w:p>
    <w:p>
      <w:pPr>
        <w:pageBreakBefore w:val="0"/>
        <w:kinsoku/>
        <w:wordWrap/>
        <w:overflowPunct/>
        <w:topLinePunct w:val="0"/>
        <w:bidi w:val="0"/>
        <w:spacing w:line="578" w:lineRule="exact"/>
        <w:ind w:firstLine="643" w:firstLineChars="200"/>
        <w:textAlignment w:val="auto"/>
        <w:rPr>
          <w:rFonts w:hint="eastAsia" w:ascii="仿宋" w:hAnsi="仿宋" w:eastAsia="方正仿宋简体"/>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年一般公共预算财政拨款支出</w:t>
      </w:r>
      <w:r>
        <w:rPr>
          <w:rFonts w:hint="eastAsia" w:eastAsia="方正仿宋简体" w:cs="Times New Roman"/>
          <w:b/>
          <w:bCs/>
          <w:color w:val="auto"/>
          <w:sz w:val="32"/>
          <w:szCs w:val="32"/>
          <w:highlight w:val="none"/>
          <w:lang w:val="en-US" w:eastAsia="zh-CN"/>
        </w:rPr>
        <w:t>362.02</w:t>
      </w:r>
      <w:r>
        <w:rPr>
          <w:rFonts w:hint="eastAsia" w:ascii="Times New Roman" w:hAnsi="Times New Roman" w:eastAsia="方正仿宋简体" w:cs="Times New Roman"/>
          <w:b/>
          <w:bCs/>
          <w:color w:val="auto"/>
          <w:sz w:val="32"/>
          <w:szCs w:val="32"/>
          <w:highlight w:val="none"/>
        </w:rPr>
        <w:t>万元，占本年支出合计的</w:t>
      </w:r>
      <w:r>
        <w:rPr>
          <w:rFonts w:hint="eastAsia" w:eastAsia="方正仿宋简体" w:cs="Times New Roman"/>
          <w:b/>
          <w:bCs/>
          <w:color w:val="auto"/>
          <w:sz w:val="32"/>
          <w:szCs w:val="32"/>
          <w:highlight w:val="none"/>
          <w:lang w:val="en-US" w:eastAsia="zh-CN"/>
        </w:rPr>
        <w:t>100</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。与</w:t>
      </w:r>
      <w:r>
        <w:rPr>
          <w:rFonts w:hint="default"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21</w:t>
      </w:r>
      <w:r>
        <w:rPr>
          <w:rFonts w:hint="eastAsia" w:ascii="Times New Roman" w:hAnsi="Times New Roman" w:eastAsia="方正仿宋简体" w:cs="Times New Roman"/>
          <w:b/>
          <w:bCs/>
          <w:color w:val="auto"/>
          <w:sz w:val="32"/>
          <w:szCs w:val="32"/>
          <w:highlight w:val="none"/>
        </w:rPr>
        <w:t>年相比，一般公共预算财政拨款</w:t>
      </w:r>
      <w:r>
        <w:rPr>
          <w:rFonts w:hint="eastAsia" w:ascii="Times New Roman" w:hAnsi="Times New Roman" w:eastAsia="方正仿宋简体" w:cs="Times New Roman"/>
          <w:b/>
          <w:bCs/>
          <w:color w:val="auto"/>
          <w:sz w:val="32"/>
          <w:szCs w:val="32"/>
          <w:highlight w:val="none"/>
          <w:lang w:eastAsia="zh-CN"/>
        </w:rPr>
        <w:t>支出</w:t>
      </w:r>
      <w:r>
        <w:rPr>
          <w:rFonts w:hint="eastAsia" w:ascii="Times New Roman" w:hAnsi="Times New Roman" w:eastAsia="方正仿宋简体" w:cs="Times New Roman"/>
          <w:b/>
          <w:bCs/>
          <w:color w:val="auto"/>
          <w:sz w:val="32"/>
          <w:szCs w:val="32"/>
          <w:highlight w:val="none"/>
        </w:rPr>
        <w:t>减少</w:t>
      </w:r>
      <w:r>
        <w:rPr>
          <w:rFonts w:hint="eastAsia" w:eastAsia="方正仿宋简体" w:cs="Times New Roman"/>
          <w:b/>
          <w:bCs/>
          <w:color w:val="auto"/>
          <w:sz w:val="32"/>
          <w:szCs w:val="32"/>
          <w:highlight w:val="none"/>
          <w:lang w:val="en-US" w:eastAsia="zh-CN"/>
        </w:rPr>
        <w:t>36.62</w:t>
      </w:r>
      <w:r>
        <w:rPr>
          <w:rFonts w:hint="eastAsia" w:ascii="Times New Roman" w:hAnsi="Times New Roman" w:eastAsia="方正仿宋简体" w:cs="Times New Roman"/>
          <w:b/>
          <w:bCs/>
          <w:color w:val="auto"/>
          <w:sz w:val="32"/>
          <w:szCs w:val="32"/>
          <w:highlight w:val="none"/>
        </w:rPr>
        <w:t>万元，下降</w:t>
      </w:r>
      <w:r>
        <w:rPr>
          <w:rFonts w:hint="eastAsia" w:eastAsia="方正仿宋简体" w:cs="Times New Roman"/>
          <w:b/>
          <w:bCs/>
          <w:color w:val="auto"/>
          <w:sz w:val="32"/>
          <w:szCs w:val="32"/>
          <w:highlight w:val="none"/>
          <w:lang w:val="en-US" w:eastAsia="zh-CN"/>
        </w:rPr>
        <w:t>9.18</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。主要变动原因</w:t>
      </w:r>
      <w:r>
        <w:rPr>
          <w:rFonts w:hint="eastAsia" w:eastAsia="方正仿宋简体" w:cs="Times New Roman"/>
          <w:b/>
          <w:bCs/>
          <w:color w:val="auto"/>
          <w:sz w:val="32"/>
          <w:szCs w:val="32"/>
          <w:highlight w:val="none"/>
          <w:lang w:eastAsia="zh-CN"/>
        </w:rPr>
        <w:t>是一般公共服务支出减少了。</w:t>
      </w:r>
    </w:p>
    <w:p>
      <w:pPr>
        <w:pageBreakBefore w:val="0"/>
        <w:kinsoku/>
        <w:wordWrap/>
        <w:overflowPunct/>
        <w:topLinePunct w:val="0"/>
        <w:bidi w:val="0"/>
        <w:spacing w:line="578" w:lineRule="exact"/>
        <w:ind w:firstLine="643" w:firstLineChars="200"/>
        <w:textAlignment w:val="auto"/>
        <w:outlineLvl w:val="2"/>
        <w:rPr>
          <w:rFonts w:hint="eastAsia" w:ascii="方正楷体简体" w:hAnsi="方正楷体简体" w:eastAsia="方正楷体简体" w:cs="方正楷体简体"/>
          <w:b/>
          <w:color w:val="auto"/>
          <w:sz w:val="32"/>
          <w:szCs w:val="32"/>
          <w:highlight w:val="none"/>
        </w:rPr>
      </w:pPr>
      <w:bookmarkStart w:id="31" w:name="_Toc15377211"/>
      <w:r>
        <w:rPr>
          <w:rFonts w:hint="eastAsia" w:ascii="方正楷体简体" w:hAnsi="方正楷体简体" w:eastAsia="方正楷体简体" w:cs="方正楷体简体"/>
          <w:b/>
          <w:color w:val="auto"/>
          <w:sz w:val="32"/>
          <w:szCs w:val="32"/>
          <w:highlight w:val="none"/>
        </w:rPr>
        <w:t>（二）一般公共预算财政拨款支出决算结构情况</w:t>
      </w:r>
      <w:bookmarkEnd w:id="31"/>
    </w:p>
    <w:p>
      <w:pPr>
        <w:pageBreakBefore w:val="0"/>
        <w:kinsoku/>
        <w:wordWrap/>
        <w:overflowPunct/>
        <w:topLinePunct w:val="0"/>
        <w:bidi w:val="0"/>
        <w:spacing w:line="578" w:lineRule="exact"/>
        <w:ind w:firstLine="643" w:firstLineChars="200"/>
        <w:textAlignment w:val="auto"/>
        <w:rPr>
          <w:rFonts w:hint="eastAsia"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年一般公共预算财政拨款支出</w:t>
      </w:r>
      <w:r>
        <w:rPr>
          <w:rFonts w:hint="eastAsia" w:eastAsia="方正仿宋简体" w:cs="Times New Roman"/>
          <w:b/>
          <w:bCs/>
          <w:color w:val="auto"/>
          <w:sz w:val="32"/>
          <w:szCs w:val="32"/>
          <w:highlight w:val="none"/>
          <w:lang w:val="en-US" w:eastAsia="zh-CN"/>
        </w:rPr>
        <w:t>362.02</w:t>
      </w:r>
      <w:r>
        <w:rPr>
          <w:rFonts w:hint="eastAsia" w:ascii="Times New Roman" w:hAnsi="Times New Roman" w:eastAsia="方正仿宋简体" w:cs="Times New Roman"/>
          <w:b/>
          <w:bCs/>
          <w:color w:val="auto"/>
          <w:sz w:val="32"/>
          <w:szCs w:val="32"/>
          <w:highlight w:val="none"/>
        </w:rPr>
        <w:t>万元，主要用于以下方面</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一般公共服务支出</w:t>
      </w:r>
      <w:r>
        <w:rPr>
          <w:rFonts w:hint="eastAsia" w:eastAsia="方正仿宋简体" w:cs="Times New Roman"/>
          <w:b/>
          <w:bCs/>
          <w:color w:val="auto"/>
          <w:sz w:val="32"/>
          <w:szCs w:val="32"/>
          <w:highlight w:val="none"/>
          <w:lang w:val="en-US" w:eastAsia="zh-CN"/>
        </w:rPr>
        <w:t>316.51</w:t>
      </w:r>
      <w:r>
        <w:rPr>
          <w:rFonts w:hint="eastAsia" w:ascii="Times New Roman" w:hAnsi="Times New Roman" w:eastAsia="方正仿宋简体" w:cs="Times New Roman"/>
          <w:b/>
          <w:bCs/>
          <w:color w:val="auto"/>
          <w:sz w:val="32"/>
          <w:szCs w:val="32"/>
          <w:highlight w:val="none"/>
        </w:rPr>
        <w:t>万元，占</w:t>
      </w:r>
      <w:r>
        <w:rPr>
          <w:rFonts w:hint="eastAsia" w:eastAsia="方正仿宋简体" w:cs="Times New Roman"/>
          <w:b/>
          <w:bCs/>
          <w:color w:val="auto"/>
          <w:sz w:val="32"/>
          <w:szCs w:val="32"/>
          <w:highlight w:val="none"/>
          <w:lang w:val="en-US" w:eastAsia="zh-CN"/>
        </w:rPr>
        <w:t>87.43</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；社会保障和就业支出</w:t>
      </w:r>
      <w:r>
        <w:rPr>
          <w:rFonts w:hint="eastAsia" w:eastAsia="方正仿宋简体" w:cs="Times New Roman"/>
          <w:b/>
          <w:bCs/>
          <w:color w:val="auto"/>
          <w:sz w:val="32"/>
          <w:szCs w:val="32"/>
          <w:highlight w:val="none"/>
          <w:lang w:val="en-US" w:eastAsia="zh-CN"/>
        </w:rPr>
        <w:t>24.55</w:t>
      </w:r>
      <w:r>
        <w:rPr>
          <w:rFonts w:hint="eastAsia" w:ascii="Times New Roman" w:hAnsi="Times New Roman" w:eastAsia="方正仿宋简体" w:cs="Times New Roman"/>
          <w:b/>
          <w:bCs/>
          <w:color w:val="auto"/>
          <w:sz w:val="32"/>
          <w:szCs w:val="32"/>
          <w:highlight w:val="none"/>
        </w:rPr>
        <w:t>万元，占</w:t>
      </w:r>
      <w:r>
        <w:rPr>
          <w:rFonts w:hint="eastAsia" w:eastAsia="方正仿宋简体" w:cs="Times New Roman"/>
          <w:b/>
          <w:bCs/>
          <w:color w:val="auto"/>
          <w:sz w:val="32"/>
          <w:szCs w:val="32"/>
          <w:highlight w:val="none"/>
          <w:lang w:val="en-US" w:eastAsia="zh-CN"/>
        </w:rPr>
        <w:t>6.78</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；卫生健康支出</w:t>
      </w:r>
      <w:r>
        <w:rPr>
          <w:rFonts w:hint="eastAsia" w:eastAsia="方正仿宋简体" w:cs="Times New Roman"/>
          <w:b/>
          <w:bCs/>
          <w:color w:val="auto"/>
          <w:sz w:val="32"/>
          <w:szCs w:val="32"/>
          <w:highlight w:val="none"/>
          <w:lang w:val="en-US" w:eastAsia="zh-CN"/>
        </w:rPr>
        <w:t>9.06</w:t>
      </w:r>
      <w:r>
        <w:rPr>
          <w:rFonts w:hint="eastAsia" w:ascii="Times New Roman" w:hAnsi="Times New Roman" w:eastAsia="方正仿宋简体" w:cs="Times New Roman"/>
          <w:b/>
          <w:bCs/>
          <w:color w:val="auto"/>
          <w:sz w:val="32"/>
          <w:szCs w:val="32"/>
          <w:highlight w:val="none"/>
        </w:rPr>
        <w:t>万元，占</w:t>
      </w:r>
      <w:r>
        <w:rPr>
          <w:rFonts w:hint="eastAsia" w:eastAsia="方正仿宋简体" w:cs="Times New Roman"/>
          <w:b/>
          <w:bCs/>
          <w:color w:val="auto"/>
          <w:sz w:val="32"/>
          <w:szCs w:val="32"/>
          <w:highlight w:val="none"/>
          <w:lang w:val="en-US" w:eastAsia="zh-CN"/>
        </w:rPr>
        <w:t>2.50</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；住房保障支出</w:t>
      </w:r>
      <w:r>
        <w:rPr>
          <w:rFonts w:hint="eastAsia" w:eastAsia="方正仿宋简体" w:cs="Times New Roman"/>
          <w:b/>
          <w:bCs/>
          <w:color w:val="auto"/>
          <w:sz w:val="32"/>
          <w:szCs w:val="32"/>
          <w:highlight w:val="none"/>
          <w:lang w:val="en-US" w:eastAsia="zh-CN"/>
        </w:rPr>
        <w:t>11.9</w:t>
      </w:r>
      <w:r>
        <w:rPr>
          <w:rFonts w:hint="eastAsia" w:ascii="Times New Roman" w:hAnsi="Times New Roman" w:eastAsia="方正仿宋简体" w:cs="Times New Roman"/>
          <w:b/>
          <w:bCs/>
          <w:color w:val="auto"/>
          <w:sz w:val="32"/>
          <w:szCs w:val="32"/>
          <w:highlight w:val="none"/>
        </w:rPr>
        <w:t>万元，占</w:t>
      </w:r>
      <w:r>
        <w:rPr>
          <w:rFonts w:hint="eastAsia" w:eastAsia="方正仿宋简体" w:cs="Times New Roman"/>
          <w:b/>
          <w:bCs/>
          <w:color w:val="auto"/>
          <w:sz w:val="32"/>
          <w:szCs w:val="32"/>
          <w:highlight w:val="none"/>
          <w:lang w:val="en-US" w:eastAsia="zh-CN"/>
        </w:rPr>
        <w:t>3.29</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w:t>
      </w:r>
    </w:p>
    <w:p>
      <w:pPr>
        <w:pageBreakBefore w:val="0"/>
        <w:kinsoku/>
        <w:wordWrap/>
        <w:overflowPunct/>
        <w:topLinePunct w:val="0"/>
        <w:bidi w:val="0"/>
        <w:spacing w:line="578" w:lineRule="exact"/>
        <w:ind w:firstLine="643" w:firstLineChars="200"/>
        <w:textAlignment w:val="auto"/>
        <w:outlineLvl w:val="2"/>
        <w:rPr>
          <w:rFonts w:hint="eastAsia" w:ascii="方正楷体简体" w:hAnsi="方正楷体简体" w:eastAsia="方正楷体简体" w:cs="方正楷体简体"/>
          <w:b/>
          <w:color w:val="auto"/>
          <w:sz w:val="32"/>
          <w:szCs w:val="32"/>
          <w:highlight w:val="none"/>
        </w:rPr>
      </w:pPr>
      <w:bookmarkStart w:id="32" w:name="_Toc15377212"/>
      <w:r>
        <w:rPr>
          <w:rFonts w:hint="eastAsia" w:ascii="方正楷体简体" w:hAnsi="方正楷体简体" w:eastAsia="方正楷体简体" w:cs="方正楷体简体"/>
          <w:b/>
          <w:color w:val="auto"/>
          <w:sz w:val="32"/>
          <w:szCs w:val="32"/>
          <w:highlight w:val="none"/>
        </w:rPr>
        <w:t>（三）一般公共预算财政拨款支出决算具体情况</w:t>
      </w:r>
      <w:bookmarkEnd w:id="32"/>
    </w:p>
    <w:p>
      <w:pPr>
        <w:pageBreakBefore w:val="0"/>
        <w:kinsoku/>
        <w:wordWrap/>
        <w:overflowPunct/>
        <w:topLinePunct w:val="0"/>
        <w:bidi w:val="0"/>
        <w:spacing w:line="578" w:lineRule="exact"/>
        <w:ind w:firstLine="643" w:firstLineChars="200"/>
        <w:textAlignment w:val="auto"/>
        <w:rPr>
          <w:rFonts w:hint="default" w:ascii="Times New Roman" w:hAnsi="Times New Roman" w:eastAsia="方正仿宋简体" w:cs="Times New Roman"/>
          <w:b/>
          <w:bCs/>
          <w:color w:val="auto"/>
          <w:sz w:val="32"/>
          <w:szCs w:val="32"/>
          <w:highlight w:val="none"/>
        </w:rPr>
      </w:pPr>
      <w:bookmarkStart w:id="33" w:name="_Toc15377444"/>
      <w:bookmarkStart w:id="34" w:name="_Toc15377213"/>
      <w:bookmarkStart w:id="35" w:name="_Toc15378460"/>
      <w:r>
        <w:rPr>
          <w:rFonts w:hint="eastAsia"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w:t>
      </w:r>
      <w:r>
        <w:rPr>
          <w:rFonts w:hint="eastAsia" w:ascii="Times New Roman" w:hAnsi="Times New Roman" w:eastAsia="方正仿宋简体" w:cs="Times New Roman"/>
          <w:b/>
          <w:bCs/>
          <w:color w:val="auto"/>
          <w:sz w:val="32"/>
          <w:szCs w:val="32"/>
          <w:highlight w:val="none"/>
          <w:lang w:eastAsia="zh-CN"/>
        </w:rPr>
        <w:t>一</w:t>
      </w:r>
      <w:r>
        <w:rPr>
          <w:rFonts w:hint="eastAsia" w:ascii="Times New Roman" w:hAnsi="Times New Roman" w:eastAsia="方正仿宋简体" w:cs="Times New Roman"/>
          <w:b/>
          <w:bCs/>
          <w:color w:val="auto"/>
          <w:sz w:val="32"/>
          <w:szCs w:val="32"/>
          <w:highlight w:val="none"/>
        </w:rPr>
        <w:t>般公共预算支出决算数为</w:t>
      </w:r>
      <w:r>
        <w:rPr>
          <w:rFonts w:hint="eastAsia" w:eastAsia="方正仿宋简体" w:cs="Times New Roman"/>
          <w:b/>
          <w:bCs/>
          <w:color w:val="auto"/>
          <w:sz w:val="32"/>
          <w:szCs w:val="32"/>
          <w:highlight w:val="none"/>
          <w:lang w:val="en-US" w:eastAsia="zh-CN"/>
        </w:rPr>
        <w:t>362.02万元</w:t>
      </w:r>
      <w:r>
        <w:rPr>
          <w:rFonts w:hint="eastAsia" w:ascii="Times New Roman" w:hAnsi="Times New Roman" w:eastAsia="方正仿宋简体" w:cs="Times New Roman"/>
          <w:b/>
          <w:bCs/>
          <w:color w:val="auto"/>
          <w:sz w:val="32"/>
          <w:szCs w:val="32"/>
          <w:highlight w:val="none"/>
        </w:rPr>
        <w:t>，完成</w:t>
      </w:r>
      <w:bookmarkStart w:id="69" w:name="_GoBack"/>
      <w:bookmarkEnd w:id="69"/>
      <w:r>
        <w:rPr>
          <w:rFonts w:hint="eastAsia" w:ascii="Times New Roman" w:hAnsi="Times New Roman" w:eastAsia="方正仿宋简体" w:cs="Times New Roman"/>
          <w:b/>
          <w:bCs/>
          <w:color w:val="auto"/>
          <w:sz w:val="32"/>
          <w:szCs w:val="32"/>
          <w:highlight w:val="none"/>
        </w:rPr>
        <w:t>预算</w:t>
      </w:r>
      <w:r>
        <w:rPr>
          <w:rFonts w:hint="eastAsia" w:eastAsia="方正仿宋简体" w:cs="Times New Roman"/>
          <w:b/>
          <w:bCs/>
          <w:color w:val="auto"/>
          <w:sz w:val="32"/>
          <w:szCs w:val="32"/>
          <w:highlight w:val="none"/>
          <w:lang w:val="en-US" w:eastAsia="zh-CN"/>
        </w:rPr>
        <w:t>100</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。其中：</w:t>
      </w:r>
      <w:bookmarkEnd w:id="33"/>
      <w:bookmarkEnd w:id="34"/>
      <w:bookmarkEnd w:id="35"/>
    </w:p>
    <w:p>
      <w:pPr>
        <w:pageBreakBefore w:val="0"/>
        <w:numPr>
          <w:ilvl w:val="0"/>
          <w:numId w:val="0"/>
        </w:numPr>
        <w:kinsoku/>
        <w:wordWrap/>
        <w:overflowPunct/>
        <w:topLinePunct w:val="0"/>
        <w:bidi w:val="0"/>
        <w:spacing w:line="578" w:lineRule="exact"/>
        <w:ind w:firstLine="643" w:firstLineChars="200"/>
        <w:textAlignment w:val="auto"/>
        <w:rPr>
          <w:rFonts w:hint="eastAsia" w:ascii="Times New Roman" w:hAnsi="Times New Roman" w:eastAsia="方正仿宋简体" w:cs="Times New Roman"/>
          <w:b/>
          <w:bCs/>
          <w:color w:val="auto"/>
          <w:sz w:val="32"/>
          <w:szCs w:val="32"/>
          <w:highlight w:val="none"/>
        </w:rPr>
      </w:pPr>
      <w:r>
        <w:rPr>
          <w:rFonts w:hint="default" w:eastAsia="方正仿宋简体" w:cs="Times New Roman"/>
          <w:b/>
          <w:bCs/>
          <w:color w:val="auto"/>
          <w:sz w:val="32"/>
          <w:szCs w:val="32"/>
          <w:highlight w:val="none"/>
        </w:rPr>
        <w:t xml:space="preserve">1. </w:t>
      </w:r>
      <w:r>
        <w:rPr>
          <w:rFonts w:hint="eastAsia" w:ascii="Times New Roman" w:hAnsi="Times New Roman" w:eastAsia="方正仿宋简体" w:cs="Times New Roman"/>
          <w:b/>
          <w:bCs/>
          <w:color w:val="auto"/>
          <w:sz w:val="32"/>
          <w:szCs w:val="32"/>
          <w:highlight w:val="none"/>
        </w:rPr>
        <w:t>一般公共服务（类）</w:t>
      </w:r>
      <w:r>
        <w:rPr>
          <w:rFonts w:hint="eastAsia" w:eastAsia="方正仿宋简体" w:cs="Times New Roman"/>
          <w:b/>
          <w:bCs/>
          <w:color w:val="auto"/>
          <w:sz w:val="32"/>
          <w:szCs w:val="32"/>
          <w:highlight w:val="none"/>
          <w:lang w:eastAsia="zh-CN"/>
        </w:rPr>
        <w:t>档案事务</w:t>
      </w:r>
      <w:r>
        <w:rPr>
          <w:rFonts w:hint="eastAsia" w:ascii="Times New Roman" w:hAnsi="Times New Roman" w:eastAsia="方正仿宋简体" w:cs="Times New Roman"/>
          <w:b/>
          <w:bCs/>
          <w:color w:val="auto"/>
          <w:sz w:val="32"/>
          <w:szCs w:val="32"/>
          <w:highlight w:val="none"/>
        </w:rPr>
        <w:t>（款）</w:t>
      </w:r>
      <w:r>
        <w:rPr>
          <w:rFonts w:hint="eastAsia" w:eastAsia="方正仿宋简体" w:cs="Times New Roman"/>
          <w:b/>
          <w:bCs/>
          <w:color w:val="auto"/>
          <w:sz w:val="32"/>
          <w:szCs w:val="32"/>
          <w:highlight w:val="none"/>
          <w:lang w:eastAsia="zh-CN"/>
        </w:rPr>
        <w:t>行政运行</w:t>
      </w:r>
      <w:r>
        <w:rPr>
          <w:rFonts w:hint="eastAsia" w:ascii="Times New Roman" w:hAnsi="Times New Roman" w:eastAsia="方正仿宋简体" w:cs="Times New Roman"/>
          <w:b/>
          <w:bCs/>
          <w:color w:val="auto"/>
          <w:sz w:val="32"/>
          <w:szCs w:val="32"/>
          <w:highlight w:val="none"/>
        </w:rPr>
        <w:t>（项）</w:t>
      </w:r>
      <w:r>
        <w:rPr>
          <w:rFonts w:hint="default" w:ascii="Times New Roman" w:hAnsi="Times New Roman" w:eastAsia="方正仿宋简体" w:cs="Times New Roman"/>
          <w:b/>
          <w:bCs/>
          <w:color w:val="auto"/>
          <w:sz w:val="32"/>
          <w:szCs w:val="32"/>
          <w:highlight w:val="none"/>
        </w:rPr>
        <w:t xml:space="preserve">: </w:t>
      </w:r>
      <w:r>
        <w:rPr>
          <w:rFonts w:hint="eastAsia" w:ascii="Times New Roman" w:hAnsi="Times New Roman" w:eastAsia="方正仿宋简体" w:cs="Times New Roman"/>
          <w:b/>
          <w:bCs/>
          <w:color w:val="auto"/>
          <w:sz w:val="32"/>
          <w:szCs w:val="32"/>
          <w:highlight w:val="none"/>
        </w:rPr>
        <w:t>支出决算为</w:t>
      </w:r>
      <w:r>
        <w:rPr>
          <w:rFonts w:hint="eastAsia" w:eastAsia="方正仿宋简体" w:cs="Times New Roman"/>
          <w:b/>
          <w:bCs/>
          <w:color w:val="auto"/>
          <w:sz w:val="32"/>
          <w:szCs w:val="32"/>
          <w:highlight w:val="none"/>
          <w:lang w:val="en-US" w:eastAsia="zh-CN"/>
        </w:rPr>
        <w:t>231.56</w:t>
      </w:r>
      <w:r>
        <w:rPr>
          <w:rFonts w:hint="eastAsia" w:ascii="Times New Roman" w:hAnsi="Times New Roman" w:eastAsia="方正仿宋简体" w:cs="Times New Roman"/>
          <w:b/>
          <w:bCs/>
          <w:color w:val="auto"/>
          <w:sz w:val="32"/>
          <w:szCs w:val="32"/>
          <w:highlight w:val="none"/>
        </w:rPr>
        <w:t>万元，完成预算</w:t>
      </w:r>
      <w:r>
        <w:rPr>
          <w:rFonts w:hint="eastAsia" w:eastAsia="方正仿宋简体" w:cs="Times New Roman"/>
          <w:b/>
          <w:bCs/>
          <w:color w:val="auto"/>
          <w:sz w:val="32"/>
          <w:szCs w:val="32"/>
          <w:highlight w:val="none"/>
          <w:lang w:val="en-US" w:eastAsia="zh-CN"/>
        </w:rPr>
        <w:t>100</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，决算数等于预算数。</w:t>
      </w:r>
    </w:p>
    <w:p>
      <w:pPr>
        <w:pageBreakBefore w:val="0"/>
        <w:numPr>
          <w:ilvl w:val="0"/>
          <w:numId w:val="0"/>
        </w:numPr>
        <w:kinsoku/>
        <w:wordWrap/>
        <w:overflowPunct/>
        <w:topLinePunct w:val="0"/>
        <w:bidi w:val="0"/>
        <w:spacing w:line="578" w:lineRule="exact"/>
        <w:ind w:firstLine="643" w:firstLineChars="200"/>
        <w:textAlignment w:val="auto"/>
        <w:rPr>
          <w:rFonts w:hint="default" w:ascii="Times New Roman" w:hAnsi="Times New Roman" w:eastAsia="方正仿宋简体" w:cs="Times New Roman"/>
          <w:b/>
          <w:bCs/>
          <w:color w:val="auto"/>
          <w:sz w:val="32"/>
          <w:szCs w:val="32"/>
          <w:highlight w:val="none"/>
          <w:lang w:val="en-US" w:eastAsia="zh-CN"/>
        </w:rPr>
      </w:pPr>
      <w:r>
        <w:rPr>
          <w:rFonts w:hint="eastAsia" w:eastAsia="方正仿宋简体" w:cs="Times New Roman"/>
          <w:b/>
          <w:bCs/>
          <w:color w:val="auto"/>
          <w:sz w:val="32"/>
          <w:szCs w:val="32"/>
          <w:highlight w:val="none"/>
          <w:lang w:val="en-US" w:eastAsia="zh-CN"/>
        </w:rPr>
        <w:t xml:space="preserve">2. </w:t>
      </w:r>
      <w:r>
        <w:rPr>
          <w:rFonts w:hint="eastAsia" w:ascii="Times New Roman" w:hAnsi="Times New Roman" w:eastAsia="方正仿宋简体" w:cs="Times New Roman"/>
          <w:b/>
          <w:bCs/>
          <w:color w:val="auto"/>
          <w:sz w:val="32"/>
          <w:szCs w:val="32"/>
          <w:highlight w:val="none"/>
          <w:lang w:val="en-US" w:eastAsia="zh-CN"/>
        </w:rPr>
        <w:t>一般公共服务（类）档案事务（款）一般行政管理事务（项）：支出决算为84.95万元，决算数等于预算数。</w:t>
      </w:r>
    </w:p>
    <w:p>
      <w:pPr>
        <w:pageBreakBefore w:val="0"/>
        <w:kinsoku/>
        <w:wordWrap/>
        <w:overflowPunct/>
        <w:topLinePunct w:val="0"/>
        <w:bidi w:val="0"/>
        <w:spacing w:line="578" w:lineRule="exact"/>
        <w:ind w:firstLine="643" w:firstLineChars="200"/>
        <w:textAlignment w:val="auto"/>
        <w:rPr>
          <w:rFonts w:hint="eastAsia" w:eastAsia="方正仿宋简体" w:cs="Times New Roman"/>
          <w:b/>
          <w:bCs/>
          <w:color w:val="auto"/>
          <w:sz w:val="32"/>
          <w:szCs w:val="32"/>
          <w:highlight w:val="none"/>
          <w:lang w:eastAsia="zh-CN"/>
        </w:rPr>
      </w:pPr>
      <w:r>
        <w:rPr>
          <w:rFonts w:hint="eastAsia" w:eastAsia="方正仿宋简体" w:cs="Times New Roman"/>
          <w:b/>
          <w:bCs/>
          <w:color w:val="auto"/>
          <w:sz w:val="32"/>
          <w:szCs w:val="32"/>
          <w:highlight w:val="none"/>
          <w:lang w:val="en-US" w:eastAsia="zh-CN"/>
        </w:rPr>
        <w:t>3</w:t>
      </w:r>
      <w:r>
        <w:rPr>
          <w:rFonts w:hint="default" w:ascii="Times New Roman" w:hAnsi="Times New Roman" w:eastAsia="方正仿宋简体" w:cs="Times New Roman"/>
          <w:b/>
          <w:bCs/>
          <w:color w:val="auto"/>
          <w:sz w:val="32"/>
          <w:szCs w:val="32"/>
          <w:highlight w:val="none"/>
        </w:rPr>
        <w:t>.</w:t>
      </w:r>
      <w:r>
        <w:rPr>
          <w:rFonts w:hint="eastAsia" w:eastAsia="方正仿宋简体" w:cs="Times New Roman"/>
          <w:b/>
          <w:bCs/>
          <w:color w:val="auto"/>
          <w:sz w:val="32"/>
          <w:szCs w:val="32"/>
          <w:highlight w:val="none"/>
          <w:lang w:val="en-US" w:eastAsia="zh-CN"/>
        </w:rPr>
        <w:t xml:space="preserve"> </w:t>
      </w:r>
      <w:r>
        <w:rPr>
          <w:rFonts w:hint="eastAsia" w:ascii="Times New Roman" w:hAnsi="Times New Roman" w:eastAsia="方正仿宋简体" w:cs="Times New Roman"/>
          <w:b/>
          <w:bCs/>
          <w:color w:val="auto"/>
          <w:sz w:val="32"/>
          <w:szCs w:val="32"/>
          <w:highlight w:val="none"/>
        </w:rPr>
        <w:t>社会保障和就业（类）</w:t>
      </w:r>
      <w:r>
        <w:rPr>
          <w:rFonts w:hint="eastAsia" w:eastAsia="方正仿宋简体" w:cs="Times New Roman"/>
          <w:b/>
          <w:bCs/>
          <w:color w:val="auto"/>
          <w:sz w:val="32"/>
          <w:szCs w:val="32"/>
          <w:highlight w:val="none"/>
          <w:lang w:eastAsia="zh-CN"/>
        </w:rPr>
        <w:t>行政事业单位养老支出</w:t>
      </w:r>
      <w:r>
        <w:rPr>
          <w:rFonts w:hint="eastAsia" w:ascii="Times New Roman" w:hAnsi="Times New Roman" w:eastAsia="方正仿宋简体" w:cs="Times New Roman"/>
          <w:b/>
          <w:bCs/>
          <w:color w:val="auto"/>
          <w:sz w:val="32"/>
          <w:szCs w:val="32"/>
          <w:highlight w:val="none"/>
        </w:rPr>
        <w:t>（款）</w:t>
      </w:r>
      <w:r>
        <w:rPr>
          <w:rFonts w:hint="eastAsia" w:eastAsia="方正仿宋简体" w:cs="Times New Roman"/>
          <w:b/>
          <w:bCs/>
          <w:color w:val="auto"/>
          <w:sz w:val="32"/>
          <w:szCs w:val="32"/>
          <w:highlight w:val="none"/>
          <w:lang w:eastAsia="zh-CN"/>
        </w:rPr>
        <w:t>机关事业单位基本养老保险缴费支出</w:t>
      </w:r>
      <w:r>
        <w:rPr>
          <w:rFonts w:hint="eastAsia" w:ascii="Times New Roman" w:hAnsi="Times New Roman" w:eastAsia="方正仿宋简体" w:cs="Times New Roman"/>
          <w:b/>
          <w:bCs/>
          <w:color w:val="auto"/>
          <w:sz w:val="32"/>
          <w:szCs w:val="32"/>
          <w:highlight w:val="none"/>
        </w:rPr>
        <w:t>（项）</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支出决算为</w:t>
      </w:r>
      <w:r>
        <w:rPr>
          <w:rFonts w:hint="eastAsia" w:eastAsia="方正仿宋简体" w:cs="Times New Roman"/>
          <w:b/>
          <w:bCs/>
          <w:color w:val="auto"/>
          <w:sz w:val="32"/>
          <w:szCs w:val="32"/>
          <w:highlight w:val="none"/>
          <w:lang w:val="en-US" w:eastAsia="zh-CN"/>
        </w:rPr>
        <w:t>21.03</w:t>
      </w:r>
      <w:r>
        <w:rPr>
          <w:rFonts w:hint="eastAsia" w:ascii="Times New Roman" w:hAnsi="Times New Roman" w:eastAsia="方正仿宋简体" w:cs="Times New Roman"/>
          <w:b/>
          <w:bCs/>
          <w:color w:val="auto"/>
          <w:sz w:val="32"/>
          <w:szCs w:val="32"/>
          <w:highlight w:val="none"/>
        </w:rPr>
        <w:t>万元，完成预算</w:t>
      </w:r>
      <w:r>
        <w:rPr>
          <w:rFonts w:hint="eastAsia" w:eastAsia="方正仿宋简体" w:cs="Times New Roman"/>
          <w:b/>
          <w:bCs/>
          <w:color w:val="auto"/>
          <w:sz w:val="32"/>
          <w:szCs w:val="32"/>
          <w:highlight w:val="none"/>
          <w:lang w:val="en-US" w:eastAsia="zh-CN"/>
        </w:rPr>
        <w:t>100</w:t>
      </w:r>
      <w:r>
        <w:rPr>
          <w:rFonts w:hint="default" w:ascii="Times New Roman" w:hAnsi="Times New Roman" w:eastAsia="方正仿宋简体" w:cs="Times New Roman"/>
          <w:b/>
          <w:bCs/>
          <w:color w:val="auto"/>
          <w:sz w:val="32"/>
          <w:szCs w:val="32"/>
          <w:highlight w:val="none"/>
        </w:rPr>
        <w:t>%</w:t>
      </w:r>
      <w:r>
        <w:rPr>
          <w:rFonts w:hint="eastAsia" w:eastAsia="方正仿宋简体" w:cs="Times New Roman"/>
          <w:b/>
          <w:bCs/>
          <w:color w:val="auto"/>
          <w:sz w:val="32"/>
          <w:szCs w:val="32"/>
          <w:highlight w:val="none"/>
          <w:lang w:eastAsia="zh-CN"/>
        </w:rPr>
        <w:t>，决算数等于预算数。</w:t>
      </w:r>
    </w:p>
    <w:p>
      <w:pPr>
        <w:pageBreakBefore w:val="0"/>
        <w:kinsoku/>
        <w:wordWrap/>
        <w:overflowPunct/>
        <w:topLinePunct w:val="0"/>
        <w:bidi w:val="0"/>
        <w:spacing w:line="578" w:lineRule="exact"/>
        <w:ind w:firstLine="643" w:firstLineChars="200"/>
        <w:textAlignment w:val="auto"/>
        <w:rPr>
          <w:rFonts w:hint="eastAsia" w:ascii="Times New Roman" w:hAnsi="Times New Roman" w:eastAsia="方正仿宋简体" w:cs="Times New Roman"/>
          <w:b/>
          <w:bCs/>
          <w:color w:val="auto"/>
          <w:sz w:val="32"/>
          <w:szCs w:val="32"/>
          <w:highlight w:val="none"/>
          <w:lang w:eastAsia="zh-CN"/>
        </w:rPr>
      </w:pPr>
      <w:r>
        <w:rPr>
          <w:rFonts w:hint="eastAsia" w:eastAsia="方正仿宋简体" w:cs="Times New Roman"/>
          <w:b/>
          <w:bCs/>
          <w:color w:val="auto"/>
          <w:sz w:val="32"/>
          <w:szCs w:val="32"/>
          <w:highlight w:val="none"/>
          <w:lang w:val="en-US" w:eastAsia="zh-CN"/>
        </w:rPr>
        <w:t xml:space="preserve">4. </w:t>
      </w:r>
      <w:r>
        <w:rPr>
          <w:rFonts w:hint="eastAsia" w:ascii="Times New Roman" w:hAnsi="Times New Roman" w:eastAsia="方正仿宋简体" w:cs="Times New Roman"/>
          <w:b/>
          <w:bCs/>
          <w:color w:val="auto"/>
          <w:sz w:val="32"/>
          <w:szCs w:val="32"/>
          <w:highlight w:val="none"/>
        </w:rPr>
        <w:t>社会保障和就业（类）</w:t>
      </w:r>
      <w:r>
        <w:rPr>
          <w:rFonts w:hint="eastAsia" w:eastAsia="方正仿宋简体" w:cs="Times New Roman"/>
          <w:b/>
          <w:bCs/>
          <w:color w:val="auto"/>
          <w:sz w:val="32"/>
          <w:szCs w:val="32"/>
          <w:highlight w:val="none"/>
          <w:lang w:eastAsia="zh-CN"/>
        </w:rPr>
        <w:t>行政事业单位养老支出</w:t>
      </w:r>
      <w:r>
        <w:rPr>
          <w:rFonts w:hint="eastAsia" w:ascii="Times New Roman" w:hAnsi="Times New Roman" w:eastAsia="方正仿宋简体" w:cs="Times New Roman"/>
          <w:b/>
          <w:bCs/>
          <w:color w:val="auto"/>
          <w:sz w:val="32"/>
          <w:szCs w:val="32"/>
          <w:highlight w:val="none"/>
        </w:rPr>
        <w:t>（款）</w:t>
      </w:r>
      <w:r>
        <w:rPr>
          <w:rFonts w:hint="eastAsia" w:eastAsia="方正仿宋简体" w:cs="Times New Roman"/>
          <w:b/>
          <w:bCs/>
          <w:color w:val="auto"/>
          <w:sz w:val="32"/>
          <w:szCs w:val="32"/>
          <w:highlight w:val="none"/>
          <w:lang w:eastAsia="zh-CN"/>
        </w:rPr>
        <w:t>机关事业单位职业年金缴费支出</w:t>
      </w:r>
      <w:r>
        <w:rPr>
          <w:rFonts w:hint="eastAsia" w:ascii="Times New Roman" w:hAnsi="Times New Roman" w:eastAsia="方正仿宋简体" w:cs="Times New Roman"/>
          <w:b/>
          <w:bCs/>
          <w:color w:val="auto"/>
          <w:sz w:val="32"/>
          <w:szCs w:val="32"/>
          <w:highlight w:val="none"/>
        </w:rPr>
        <w:t>（项）</w:t>
      </w:r>
      <w:r>
        <w:rPr>
          <w:rFonts w:hint="default" w:ascii="Times New Roman" w:hAnsi="Times New Roman" w:eastAsia="方正仿宋简体" w:cs="Times New Roman"/>
          <w:b/>
          <w:bCs/>
          <w:color w:val="auto"/>
          <w:sz w:val="32"/>
          <w:szCs w:val="32"/>
          <w:highlight w:val="none"/>
        </w:rPr>
        <w:t xml:space="preserve">: </w:t>
      </w:r>
      <w:r>
        <w:rPr>
          <w:rFonts w:hint="eastAsia" w:ascii="Times New Roman" w:hAnsi="Times New Roman" w:eastAsia="方正仿宋简体" w:cs="Times New Roman"/>
          <w:b/>
          <w:bCs/>
          <w:color w:val="auto"/>
          <w:sz w:val="32"/>
          <w:szCs w:val="32"/>
          <w:highlight w:val="none"/>
        </w:rPr>
        <w:t>支出决算为</w:t>
      </w:r>
      <w:r>
        <w:rPr>
          <w:rFonts w:hint="eastAsia" w:eastAsia="方正仿宋简体" w:cs="Times New Roman"/>
          <w:b/>
          <w:bCs/>
          <w:color w:val="auto"/>
          <w:sz w:val="32"/>
          <w:szCs w:val="32"/>
          <w:highlight w:val="none"/>
          <w:lang w:val="en-US" w:eastAsia="zh-CN"/>
        </w:rPr>
        <w:t>3.52</w:t>
      </w:r>
      <w:r>
        <w:rPr>
          <w:rFonts w:hint="eastAsia" w:ascii="Times New Roman" w:hAnsi="Times New Roman" w:eastAsia="方正仿宋简体" w:cs="Times New Roman"/>
          <w:b/>
          <w:bCs/>
          <w:color w:val="auto"/>
          <w:sz w:val="32"/>
          <w:szCs w:val="32"/>
          <w:highlight w:val="none"/>
        </w:rPr>
        <w:t>万元，完成预算</w:t>
      </w:r>
      <w:r>
        <w:rPr>
          <w:rFonts w:hint="eastAsia" w:eastAsia="方正仿宋简体" w:cs="Times New Roman"/>
          <w:b/>
          <w:bCs/>
          <w:color w:val="auto"/>
          <w:sz w:val="32"/>
          <w:szCs w:val="32"/>
          <w:highlight w:val="none"/>
          <w:lang w:val="en-US" w:eastAsia="zh-CN"/>
        </w:rPr>
        <w:t>100</w:t>
      </w:r>
      <w:r>
        <w:rPr>
          <w:rFonts w:hint="default" w:ascii="Times New Roman" w:hAnsi="Times New Roman" w:eastAsia="方正仿宋简体" w:cs="Times New Roman"/>
          <w:b/>
          <w:bCs/>
          <w:color w:val="auto"/>
          <w:sz w:val="32"/>
          <w:szCs w:val="32"/>
          <w:highlight w:val="none"/>
        </w:rPr>
        <w:t>%</w:t>
      </w:r>
      <w:r>
        <w:rPr>
          <w:rFonts w:hint="eastAsia" w:eastAsia="方正仿宋简体" w:cs="Times New Roman"/>
          <w:b/>
          <w:bCs/>
          <w:color w:val="auto"/>
          <w:sz w:val="32"/>
          <w:szCs w:val="32"/>
          <w:highlight w:val="none"/>
          <w:lang w:eastAsia="zh-CN"/>
        </w:rPr>
        <w:t>，决算数等于预算数</w:t>
      </w:r>
      <w:r>
        <w:rPr>
          <w:rFonts w:hint="eastAsia" w:ascii="Times New Roman" w:hAnsi="Times New Roman" w:eastAsia="方正仿宋简体" w:cs="Times New Roman"/>
          <w:b/>
          <w:bCs/>
          <w:color w:val="auto"/>
          <w:sz w:val="32"/>
          <w:szCs w:val="32"/>
          <w:highlight w:val="none"/>
        </w:rPr>
        <w:t>。</w:t>
      </w:r>
    </w:p>
    <w:p>
      <w:pPr>
        <w:pageBreakBefore w:val="0"/>
        <w:kinsoku/>
        <w:wordWrap/>
        <w:overflowPunct/>
        <w:topLinePunct w:val="0"/>
        <w:bidi w:val="0"/>
        <w:spacing w:line="578" w:lineRule="exact"/>
        <w:ind w:firstLine="643" w:firstLineChars="200"/>
        <w:textAlignment w:val="auto"/>
        <w:rPr>
          <w:rFonts w:hint="eastAsia" w:ascii="Times New Roman" w:hAnsi="Times New Roman" w:eastAsia="方正仿宋简体" w:cs="Times New Roman"/>
          <w:b/>
          <w:bCs/>
          <w:color w:val="auto"/>
          <w:sz w:val="32"/>
          <w:szCs w:val="32"/>
          <w:highlight w:val="none"/>
        </w:rPr>
      </w:pPr>
      <w:r>
        <w:rPr>
          <w:rFonts w:hint="eastAsia" w:eastAsia="方正仿宋简体" w:cs="Times New Roman"/>
          <w:b/>
          <w:bCs/>
          <w:color w:val="auto"/>
          <w:sz w:val="32"/>
          <w:szCs w:val="32"/>
          <w:highlight w:val="none"/>
          <w:lang w:val="en-US" w:eastAsia="zh-CN"/>
        </w:rPr>
        <w:t>5</w:t>
      </w:r>
      <w:r>
        <w:rPr>
          <w:rFonts w:hint="default" w:ascii="Times New Roman" w:hAnsi="Times New Roman" w:eastAsia="方正仿宋简体" w:cs="Times New Roman"/>
          <w:b/>
          <w:bCs/>
          <w:color w:val="auto"/>
          <w:sz w:val="32"/>
          <w:szCs w:val="32"/>
          <w:highlight w:val="none"/>
        </w:rPr>
        <w:t>.</w:t>
      </w:r>
      <w:r>
        <w:rPr>
          <w:rFonts w:hint="eastAsia" w:eastAsia="方正仿宋简体" w:cs="Times New Roman"/>
          <w:b/>
          <w:bCs/>
          <w:color w:val="auto"/>
          <w:sz w:val="32"/>
          <w:szCs w:val="32"/>
          <w:highlight w:val="none"/>
          <w:lang w:val="en-US" w:eastAsia="zh-CN"/>
        </w:rPr>
        <w:t xml:space="preserve"> </w:t>
      </w:r>
      <w:r>
        <w:rPr>
          <w:rFonts w:hint="eastAsia" w:ascii="Times New Roman" w:hAnsi="Times New Roman" w:eastAsia="方正仿宋简体" w:cs="Times New Roman"/>
          <w:b/>
          <w:bCs/>
          <w:color w:val="auto"/>
          <w:sz w:val="32"/>
          <w:szCs w:val="32"/>
          <w:highlight w:val="none"/>
        </w:rPr>
        <w:t>卫生健康（类）</w:t>
      </w:r>
      <w:r>
        <w:rPr>
          <w:rFonts w:hint="eastAsia" w:eastAsia="方正仿宋简体" w:cs="Times New Roman"/>
          <w:b/>
          <w:bCs/>
          <w:color w:val="auto"/>
          <w:sz w:val="32"/>
          <w:szCs w:val="32"/>
          <w:highlight w:val="none"/>
          <w:lang w:eastAsia="zh-CN"/>
        </w:rPr>
        <w:t>行政事业单位医疗</w:t>
      </w:r>
      <w:r>
        <w:rPr>
          <w:rFonts w:hint="eastAsia" w:ascii="Times New Roman" w:hAnsi="Times New Roman" w:eastAsia="方正仿宋简体" w:cs="Times New Roman"/>
          <w:b/>
          <w:bCs/>
          <w:color w:val="auto"/>
          <w:sz w:val="32"/>
          <w:szCs w:val="32"/>
          <w:highlight w:val="none"/>
        </w:rPr>
        <w:t>（款）</w:t>
      </w:r>
      <w:r>
        <w:rPr>
          <w:rFonts w:hint="eastAsia" w:eastAsia="方正仿宋简体" w:cs="Times New Roman"/>
          <w:b/>
          <w:bCs/>
          <w:color w:val="auto"/>
          <w:sz w:val="32"/>
          <w:szCs w:val="32"/>
          <w:highlight w:val="none"/>
          <w:lang w:eastAsia="zh-CN"/>
        </w:rPr>
        <w:t>行政单位医疗</w:t>
      </w:r>
      <w:r>
        <w:rPr>
          <w:rFonts w:hint="eastAsia" w:ascii="Times New Roman" w:hAnsi="Times New Roman" w:eastAsia="方正仿宋简体" w:cs="Times New Roman"/>
          <w:b/>
          <w:bCs/>
          <w:color w:val="auto"/>
          <w:sz w:val="32"/>
          <w:szCs w:val="32"/>
          <w:highlight w:val="none"/>
        </w:rPr>
        <w:t>（项）</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支出决算为</w:t>
      </w:r>
      <w:r>
        <w:rPr>
          <w:rFonts w:hint="eastAsia" w:eastAsia="方正仿宋简体" w:cs="Times New Roman"/>
          <w:b/>
          <w:bCs/>
          <w:color w:val="auto"/>
          <w:sz w:val="32"/>
          <w:szCs w:val="32"/>
          <w:highlight w:val="none"/>
          <w:lang w:val="en-US" w:eastAsia="zh-CN"/>
        </w:rPr>
        <w:t>7.14</w:t>
      </w:r>
      <w:r>
        <w:rPr>
          <w:rFonts w:hint="eastAsia" w:ascii="Times New Roman" w:hAnsi="Times New Roman" w:eastAsia="方正仿宋简体" w:cs="Times New Roman"/>
          <w:b/>
          <w:bCs/>
          <w:color w:val="auto"/>
          <w:sz w:val="32"/>
          <w:szCs w:val="32"/>
          <w:highlight w:val="none"/>
        </w:rPr>
        <w:t>万元，完成预算</w:t>
      </w:r>
      <w:r>
        <w:rPr>
          <w:rFonts w:hint="eastAsia" w:eastAsia="方正仿宋简体" w:cs="Times New Roman"/>
          <w:b/>
          <w:bCs/>
          <w:color w:val="auto"/>
          <w:sz w:val="32"/>
          <w:szCs w:val="32"/>
          <w:highlight w:val="none"/>
          <w:lang w:val="en-US" w:eastAsia="zh-CN"/>
        </w:rPr>
        <w:t>100</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，决算数等于预算数。</w:t>
      </w:r>
    </w:p>
    <w:p>
      <w:pPr>
        <w:pageBreakBefore w:val="0"/>
        <w:kinsoku/>
        <w:wordWrap/>
        <w:overflowPunct/>
        <w:topLinePunct w:val="0"/>
        <w:bidi w:val="0"/>
        <w:spacing w:line="578" w:lineRule="exact"/>
        <w:ind w:firstLine="643" w:firstLineChars="200"/>
        <w:textAlignment w:val="auto"/>
        <w:rPr>
          <w:rFonts w:hint="eastAsia" w:ascii="Times New Roman" w:hAnsi="Times New Roman" w:eastAsia="方正仿宋简体" w:cs="Times New Roman"/>
          <w:b/>
          <w:bCs/>
          <w:color w:val="auto"/>
          <w:sz w:val="32"/>
          <w:szCs w:val="32"/>
          <w:highlight w:val="none"/>
        </w:rPr>
      </w:pPr>
      <w:r>
        <w:rPr>
          <w:rFonts w:hint="eastAsia" w:eastAsia="方正仿宋简体" w:cs="Times New Roman"/>
          <w:b/>
          <w:bCs/>
          <w:color w:val="auto"/>
          <w:sz w:val="32"/>
          <w:szCs w:val="32"/>
          <w:highlight w:val="none"/>
          <w:lang w:val="en-US" w:eastAsia="zh-CN"/>
        </w:rPr>
        <w:t xml:space="preserve">6. </w:t>
      </w:r>
      <w:r>
        <w:rPr>
          <w:rFonts w:hint="eastAsia" w:ascii="Times New Roman" w:hAnsi="Times New Roman" w:eastAsia="方正仿宋简体" w:cs="Times New Roman"/>
          <w:b/>
          <w:bCs/>
          <w:color w:val="auto"/>
          <w:sz w:val="32"/>
          <w:szCs w:val="32"/>
          <w:highlight w:val="none"/>
        </w:rPr>
        <w:t>卫生健康（类）</w:t>
      </w:r>
      <w:r>
        <w:rPr>
          <w:rFonts w:hint="eastAsia" w:eastAsia="方正仿宋简体" w:cs="Times New Roman"/>
          <w:b/>
          <w:bCs/>
          <w:color w:val="auto"/>
          <w:sz w:val="32"/>
          <w:szCs w:val="32"/>
          <w:highlight w:val="none"/>
          <w:lang w:eastAsia="zh-CN"/>
        </w:rPr>
        <w:t>行政事业单位医疗</w:t>
      </w:r>
      <w:r>
        <w:rPr>
          <w:rFonts w:hint="eastAsia" w:ascii="Times New Roman" w:hAnsi="Times New Roman" w:eastAsia="方正仿宋简体" w:cs="Times New Roman"/>
          <w:b/>
          <w:bCs/>
          <w:color w:val="auto"/>
          <w:sz w:val="32"/>
          <w:szCs w:val="32"/>
          <w:highlight w:val="none"/>
        </w:rPr>
        <w:t>（款）</w:t>
      </w:r>
      <w:r>
        <w:rPr>
          <w:rFonts w:hint="eastAsia" w:eastAsia="方正仿宋简体" w:cs="Times New Roman"/>
          <w:b/>
          <w:bCs/>
          <w:color w:val="auto"/>
          <w:sz w:val="32"/>
          <w:szCs w:val="32"/>
          <w:highlight w:val="none"/>
          <w:lang w:eastAsia="zh-CN"/>
        </w:rPr>
        <w:t>公务员医疗补助</w:t>
      </w:r>
      <w:r>
        <w:rPr>
          <w:rFonts w:hint="eastAsia" w:ascii="Times New Roman" w:hAnsi="Times New Roman" w:eastAsia="方正仿宋简体" w:cs="Times New Roman"/>
          <w:b/>
          <w:bCs/>
          <w:color w:val="auto"/>
          <w:sz w:val="32"/>
          <w:szCs w:val="32"/>
          <w:highlight w:val="none"/>
        </w:rPr>
        <w:t>（项）</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支出决算为</w:t>
      </w:r>
      <w:r>
        <w:rPr>
          <w:rFonts w:hint="eastAsia" w:eastAsia="方正仿宋简体" w:cs="Times New Roman"/>
          <w:b/>
          <w:bCs/>
          <w:color w:val="auto"/>
          <w:sz w:val="32"/>
          <w:szCs w:val="32"/>
          <w:highlight w:val="none"/>
          <w:lang w:val="en-US" w:eastAsia="zh-CN"/>
        </w:rPr>
        <w:t>1.92</w:t>
      </w:r>
      <w:r>
        <w:rPr>
          <w:rFonts w:hint="eastAsia" w:ascii="Times New Roman" w:hAnsi="Times New Roman" w:eastAsia="方正仿宋简体" w:cs="Times New Roman"/>
          <w:b/>
          <w:bCs/>
          <w:color w:val="auto"/>
          <w:sz w:val="32"/>
          <w:szCs w:val="32"/>
          <w:highlight w:val="none"/>
        </w:rPr>
        <w:t>万元，完成预算</w:t>
      </w:r>
      <w:r>
        <w:rPr>
          <w:rFonts w:hint="eastAsia" w:eastAsia="方正仿宋简体" w:cs="Times New Roman"/>
          <w:b/>
          <w:bCs/>
          <w:color w:val="auto"/>
          <w:sz w:val="32"/>
          <w:szCs w:val="32"/>
          <w:highlight w:val="none"/>
          <w:lang w:val="en-US" w:eastAsia="zh-CN"/>
        </w:rPr>
        <w:t>100</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，决算数等于预算数。</w:t>
      </w:r>
    </w:p>
    <w:p>
      <w:pPr>
        <w:pStyle w:val="5"/>
        <w:pageBreakBefore w:val="0"/>
        <w:kinsoku/>
        <w:wordWrap/>
        <w:overflowPunct/>
        <w:topLinePunct w:val="0"/>
        <w:bidi w:val="0"/>
        <w:spacing w:beforeLines="0"/>
        <w:ind w:firstLine="643" w:firstLineChars="200"/>
        <w:rPr>
          <w:rFonts w:hint="default" w:eastAsia="方正仿宋简体"/>
          <w:lang w:val="en-US" w:eastAsia="zh-CN"/>
        </w:rPr>
      </w:pPr>
      <w:r>
        <w:rPr>
          <w:rFonts w:hint="eastAsia" w:ascii="Times New Roman" w:eastAsia="方正仿宋简体" w:cs="Times New Roman"/>
          <w:b/>
          <w:bCs/>
          <w:color w:val="auto"/>
          <w:sz w:val="32"/>
          <w:szCs w:val="32"/>
          <w:highlight w:val="none"/>
          <w:lang w:val="en-US" w:eastAsia="zh-CN"/>
        </w:rPr>
        <w:t>7. 住房保障（类）住房保障支出（款）住房改革支出（项）：支出决算为11.90万元，完成预算100%，决算数等于预算数。</w:t>
      </w:r>
    </w:p>
    <w:p>
      <w:pPr>
        <w:pageBreakBefore w:val="0"/>
        <w:tabs>
          <w:tab w:val="right" w:pos="8306"/>
        </w:tabs>
        <w:kinsoku/>
        <w:wordWrap/>
        <w:overflowPunct/>
        <w:topLinePunct w:val="0"/>
        <w:bidi w:val="0"/>
        <w:spacing w:line="578" w:lineRule="exact"/>
        <w:ind w:firstLine="640"/>
        <w:textAlignment w:val="auto"/>
        <w:outlineLvl w:val="1"/>
        <w:rPr>
          <w:rStyle w:val="29"/>
          <w:color w:val="auto"/>
          <w:highlight w:val="none"/>
        </w:rPr>
      </w:pPr>
      <w:bookmarkStart w:id="36" w:name="_Toc15396608"/>
      <w:bookmarkStart w:id="37" w:name="_Toc15377214"/>
      <w:r>
        <w:rPr>
          <w:rFonts w:hint="eastAsia" w:ascii="方正黑体简体" w:hAnsi="方正黑体简体" w:eastAsia="方正黑体简体" w:cs="方正黑体简体"/>
          <w:b/>
          <w:bCs/>
          <w:color w:val="auto"/>
          <w:kern w:val="2"/>
          <w:sz w:val="32"/>
          <w:szCs w:val="32"/>
          <w:highlight w:val="none"/>
          <w:lang w:val="en-US" w:eastAsia="zh-CN" w:bidi="ar-SA"/>
        </w:rPr>
        <w:t>六、一般公共预算财政拨款基本支出决算情况说明</w:t>
      </w:r>
      <w:bookmarkEnd w:id="36"/>
      <w:bookmarkEnd w:id="37"/>
      <w:r>
        <w:rPr>
          <w:rStyle w:val="29"/>
          <w:rFonts w:ascii="黑体" w:hAnsi="黑体" w:eastAsia="黑体"/>
          <w:b w:val="0"/>
          <w:color w:val="auto"/>
          <w:highlight w:val="none"/>
        </w:rPr>
        <w:tab/>
      </w:r>
    </w:p>
    <w:p>
      <w:pPr>
        <w:pageBreakBefore w:val="0"/>
        <w:kinsoku/>
        <w:wordWrap/>
        <w:overflowPunct/>
        <w:topLinePunct w:val="0"/>
        <w:bidi w:val="0"/>
        <w:spacing w:line="578" w:lineRule="exact"/>
        <w:ind w:firstLine="643" w:firstLineChars="200"/>
        <w:textAlignment w:val="auto"/>
        <w:rPr>
          <w:rFonts w:hint="eastAsia"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年一般公共预算财政拨款基本支出</w:t>
      </w:r>
      <w:r>
        <w:rPr>
          <w:rFonts w:hint="eastAsia" w:eastAsia="方正仿宋简体" w:cs="Times New Roman"/>
          <w:b/>
          <w:bCs/>
          <w:color w:val="auto"/>
          <w:sz w:val="32"/>
          <w:szCs w:val="32"/>
          <w:highlight w:val="none"/>
          <w:lang w:val="en-US" w:eastAsia="zh-CN"/>
        </w:rPr>
        <w:t>277.07</w:t>
      </w:r>
      <w:r>
        <w:rPr>
          <w:rFonts w:hint="eastAsia" w:ascii="Times New Roman" w:hAnsi="Times New Roman" w:eastAsia="方正仿宋简体" w:cs="Times New Roman"/>
          <w:b/>
          <w:bCs/>
          <w:color w:val="auto"/>
          <w:sz w:val="32"/>
          <w:szCs w:val="32"/>
          <w:highlight w:val="none"/>
        </w:rPr>
        <w:t>万元，其中：</w:t>
      </w:r>
    </w:p>
    <w:p>
      <w:pPr>
        <w:pageBreakBefore w:val="0"/>
        <w:kinsoku/>
        <w:wordWrap/>
        <w:overflowPunct/>
        <w:topLinePunct w:val="0"/>
        <w:bidi w:val="0"/>
        <w:spacing w:line="578" w:lineRule="exact"/>
        <w:ind w:firstLine="643" w:firstLineChars="200"/>
        <w:textAlignment w:val="auto"/>
        <w:rPr>
          <w:rFonts w:hint="eastAsia"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rPr>
        <w:t>人员经费</w:t>
      </w:r>
      <w:r>
        <w:rPr>
          <w:rFonts w:hint="eastAsia" w:eastAsia="方正仿宋简体" w:cs="Times New Roman"/>
          <w:b/>
          <w:bCs/>
          <w:color w:val="auto"/>
          <w:sz w:val="32"/>
          <w:szCs w:val="32"/>
          <w:highlight w:val="none"/>
          <w:lang w:val="en-US" w:eastAsia="zh-CN"/>
        </w:rPr>
        <w:t>244.61</w:t>
      </w:r>
      <w:r>
        <w:rPr>
          <w:rFonts w:hint="eastAsia" w:ascii="Times New Roman" w:hAnsi="Times New Roman" w:eastAsia="方正仿宋简体" w:cs="Times New Roman"/>
          <w:b/>
          <w:bCs/>
          <w:color w:val="auto"/>
          <w:sz w:val="32"/>
          <w:szCs w:val="32"/>
          <w:highlight w:val="none"/>
        </w:rPr>
        <w:t>万元，主要包括：基本工资、津贴补贴、奖金、绩效工资、机关事业单位基本养老保险缴费、职业年金缴费、其他社会保障缴费、奖励金、住房公积金、其他对个人和家庭的补助支出等。</w:t>
      </w:r>
      <w:r>
        <w:rPr>
          <w:rFonts w:hint="eastAsia" w:ascii="Times New Roman" w:hAnsi="Times New Roman" w:eastAsia="方正仿宋简体" w:cs="Times New Roman"/>
          <w:b/>
          <w:bCs/>
          <w:color w:val="auto"/>
          <w:sz w:val="32"/>
          <w:szCs w:val="32"/>
          <w:highlight w:val="none"/>
        </w:rPr>
        <w:br w:type="textWrapping"/>
      </w:r>
      <w:r>
        <w:rPr>
          <w:rFonts w:hint="eastAsia" w:eastAsia="方正仿宋简体" w:cs="Times New Roman"/>
          <w:b/>
          <w:bCs/>
          <w:color w:val="auto"/>
          <w:sz w:val="32"/>
          <w:szCs w:val="32"/>
          <w:highlight w:val="none"/>
          <w:lang w:val="en-US" w:eastAsia="zh-CN"/>
        </w:rPr>
        <w:t xml:space="preserve">    </w:t>
      </w:r>
      <w:r>
        <w:rPr>
          <w:rFonts w:hint="eastAsia" w:ascii="Times New Roman" w:hAnsi="Times New Roman" w:eastAsia="方正仿宋简体" w:cs="Times New Roman"/>
          <w:b/>
          <w:bCs/>
          <w:color w:val="auto"/>
          <w:sz w:val="32"/>
          <w:szCs w:val="32"/>
          <w:highlight w:val="none"/>
        </w:rPr>
        <w:t>公用经费</w:t>
      </w:r>
      <w:r>
        <w:rPr>
          <w:rFonts w:hint="eastAsia" w:eastAsia="方正仿宋简体" w:cs="Times New Roman"/>
          <w:b/>
          <w:bCs/>
          <w:color w:val="auto"/>
          <w:sz w:val="32"/>
          <w:szCs w:val="32"/>
          <w:highlight w:val="none"/>
          <w:lang w:val="en-US" w:eastAsia="zh-CN"/>
        </w:rPr>
        <w:t>32.46</w:t>
      </w:r>
      <w:r>
        <w:rPr>
          <w:rFonts w:hint="eastAsia" w:ascii="Times New Roman" w:hAnsi="Times New Roman" w:eastAsia="方正仿宋简体" w:cs="Times New Roman"/>
          <w:b/>
          <w:bCs/>
          <w:color w:val="auto"/>
          <w:sz w:val="32"/>
          <w:szCs w:val="32"/>
          <w:highlight w:val="none"/>
        </w:rPr>
        <w:t>万元，主要包括：办公费、印刷费、咨询费、手续费、水费、电费、邮电费、差旅费、维修（护）费、公务接待费、工会经费、福利费、其他交通费。</w:t>
      </w:r>
    </w:p>
    <w:p>
      <w:pPr>
        <w:pageBreakBefore w:val="0"/>
        <w:tabs>
          <w:tab w:val="right" w:pos="8306"/>
        </w:tabs>
        <w:kinsoku/>
        <w:wordWrap/>
        <w:overflowPunct/>
        <w:topLinePunct w:val="0"/>
        <w:bidi w:val="0"/>
        <w:spacing w:line="578" w:lineRule="exact"/>
        <w:ind w:firstLine="640"/>
        <w:textAlignment w:val="auto"/>
        <w:outlineLvl w:val="1"/>
        <w:rPr>
          <w:rFonts w:hint="eastAsia" w:ascii="方正黑体简体" w:hAnsi="方正黑体简体" w:eastAsia="方正黑体简体" w:cs="方正黑体简体"/>
          <w:b/>
          <w:bCs/>
          <w:color w:val="auto"/>
          <w:kern w:val="2"/>
          <w:sz w:val="32"/>
          <w:szCs w:val="32"/>
          <w:highlight w:val="none"/>
          <w:lang w:val="en-US" w:eastAsia="zh-CN" w:bidi="ar-SA"/>
        </w:rPr>
      </w:pPr>
      <w:bookmarkStart w:id="38" w:name="_Toc15377215"/>
      <w:bookmarkStart w:id="39" w:name="_Toc15396609"/>
      <w:r>
        <w:rPr>
          <w:rFonts w:hint="eastAsia" w:ascii="方正黑体简体" w:hAnsi="方正黑体简体" w:eastAsia="方正黑体简体" w:cs="方正黑体简体"/>
          <w:b/>
          <w:bCs/>
          <w:color w:val="auto"/>
          <w:kern w:val="2"/>
          <w:sz w:val="32"/>
          <w:szCs w:val="32"/>
          <w:highlight w:val="none"/>
          <w:lang w:val="en-US" w:eastAsia="zh-CN" w:bidi="ar-SA"/>
        </w:rPr>
        <w:t>七、财政拨款“三公”经费支出决算情况说明</w:t>
      </w:r>
      <w:bookmarkEnd w:id="38"/>
      <w:bookmarkEnd w:id="39"/>
    </w:p>
    <w:p>
      <w:pPr>
        <w:pageBreakBefore w:val="0"/>
        <w:kinsoku/>
        <w:wordWrap/>
        <w:overflowPunct/>
        <w:topLinePunct w:val="0"/>
        <w:bidi w:val="0"/>
        <w:spacing w:line="578" w:lineRule="exact"/>
        <w:ind w:firstLine="640"/>
        <w:textAlignment w:val="auto"/>
        <w:outlineLvl w:val="2"/>
        <w:rPr>
          <w:rFonts w:hint="eastAsia" w:ascii="方正楷体简体" w:hAnsi="方正楷体简体" w:eastAsia="方正楷体简体" w:cs="方正楷体简体"/>
          <w:b/>
          <w:color w:val="auto"/>
          <w:sz w:val="32"/>
          <w:szCs w:val="32"/>
          <w:highlight w:val="none"/>
        </w:rPr>
      </w:pPr>
      <w:bookmarkStart w:id="40" w:name="_Toc15377216"/>
      <w:r>
        <w:rPr>
          <w:rFonts w:hint="eastAsia" w:ascii="方正楷体简体" w:hAnsi="方正楷体简体" w:eastAsia="方正楷体简体" w:cs="方正楷体简体"/>
          <w:b/>
          <w:color w:val="auto"/>
          <w:sz w:val="32"/>
          <w:szCs w:val="32"/>
          <w:highlight w:val="none"/>
        </w:rPr>
        <w:t>（一）“三公”经费财政拨款支出决算总体情况说明</w:t>
      </w:r>
      <w:bookmarkEnd w:id="40"/>
    </w:p>
    <w:p>
      <w:pPr>
        <w:pageBreakBefore w:val="0"/>
        <w:kinsoku/>
        <w:wordWrap/>
        <w:overflowPunct/>
        <w:topLinePunct w:val="0"/>
        <w:bidi w:val="0"/>
        <w:spacing w:line="578" w:lineRule="exact"/>
        <w:ind w:firstLine="643" w:firstLineChars="200"/>
        <w:textAlignment w:val="auto"/>
        <w:rPr>
          <w:rFonts w:hint="eastAsia"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年“三公”经费财政拨款支出决算为</w:t>
      </w:r>
      <w:r>
        <w:rPr>
          <w:rFonts w:hint="eastAsia" w:eastAsia="方正仿宋简体" w:cs="Times New Roman"/>
          <w:b/>
          <w:bCs/>
          <w:color w:val="auto"/>
          <w:sz w:val="32"/>
          <w:szCs w:val="32"/>
          <w:highlight w:val="none"/>
          <w:lang w:val="en-US" w:eastAsia="zh-CN"/>
        </w:rPr>
        <w:t>2.4</w:t>
      </w:r>
      <w:r>
        <w:rPr>
          <w:rFonts w:hint="eastAsia" w:ascii="Times New Roman" w:hAnsi="Times New Roman" w:eastAsia="方正仿宋简体" w:cs="Times New Roman"/>
          <w:b/>
          <w:bCs/>
          <w:color w:val="auto"/>
          <w:sz w:val="32"/>
          <w:szCs w:val="32"/>
          <w:highlight w:val="none"/>
        </w:rPr>
        <w:t>万元，完成预算</w:t>
      </w:r>
      <w:r>
        <w:rPr>
          <w:rFonts w:hint="eastAsia" w:eastAsia="方正仿宋简体" w:cs="Times New Roman"/>
          <w:b/>
          <w:bCs/>
          <w:color w:val="auto"/>
          <w:sz w:val="32"/>
          <w:szCs w:val="32"/>
          <w:highlight w:val="none"/>
          <w:lang w:val="en-US" w:eastAsia="zh-CN"/>
        </w:rPr>
        <w:t>100</w:t>
      </w:r>
      <w:r>
        <w:rPr>
          <w:rFonts w:hint="eastAsia" w:ascii="Times New Roman" w:hAnsi="Times New Roman" w:eastAsia="方正仿宋简体" w:cs="Times New Roman"/>
          <w:b/>
          <w:bCs/>
          <w:color w:val="auto"/>
          <w:sz w:val="32"/>
          <w:szCs w:val="32"/>
          <w:highlight w:val="none"/>
        </w:rPr>
        <w:t>%，决算数</w:t>
      </w:r>
      <w:r>
        <w:rPr>
          <w:rFonts w:hint="eastAsia" w:eastAsia="方正仿宋简体" w:cs="Times New Roman"/>
          <w:b/>
          <w:bCs/>
          <w:color w:val="auto"/>
          <w:sz w:val="32"/>
          <w:szCs w:val="32"/>
          <w:highlight w:val="none"/>
          <w:lang w:eastAsia="zh-CN"/>
        </w:rPr>
        <w:t>等于</w:t>
      </w:r>
      <w:r>
        <w:rPr>
          <w:rFonts w:hint="eastAsia" w:ascii="Times New Roman" w:hAnsi="Times New Roman" w:eastAsia="方正仿宋简体" w:cs="Times New Roman"/>
          <w:b/>
          <w:bCs/>
          <w:color w:val="auto"/>
          <w:sz w:val="32"/>
          <w:szCs w:val="32"/>
          <w:highlight w:val="none"/>
        </w:rPr>
        <w:t>预算数。</w:t>
      </w:r>
    </w:p>
    <w:p>
      <w:pPr>
        <w:pageBreakBefore w:val="0"/>
        <w:kinsoku/>
        <w:wordWrap/>
        <w:overflowPunct/>
        <w:topLinePunct w:val="0"/>
        <w:bidi w:val="0"/>
        <w:spacing w:line="578" w:lineRule="exact"/>
        <w:ind w:firstLine="640"/>
        <w:textAlignment w:val="auto"/>
        <w:outlineLvl w:val="2"/>
        <w:rPr>
          <w:rFonts w:hint="eastAsia" w:ascii="方正楷体简体" w:hAnsi="方正楷体简体" w:eastAsia="方正楷体简体" w:cs="方正楷体简体"/>
          <w:b/>
          <w:color w:val="auto"/>
          <w:sz w:val="32"/>
          <w:szCs w:val="32"/>
          <w:highlight w:val="none"/>
        </w:rPr>
      </w:pPr>
      <w:bookmarkStart w:id="41" w:name="_Toc15377217"/>
      <w:r>
        <w:rPr>
          <w:rFonts w:hint="eastAsia" w:ascii="方正楷体简体" w:hAnsi="方正楷体简体" w:eastAsia="方正楷体简体" w:cs="方正楷体简体"/>
          <w:b/>
          <w:color w:val="auto"/>
          <w:sz w:val="32"/>
          <w:szCs w:val="32"/>
          <w:highlight w:val="none"/>
        </w:rPr>
        <w:t>（二）“三公”经费财政拨款支出决算具体情况说明</w:t>
      </w:r>
      <w:bookmarkEnd w:id="41"/>
    </w:p>
    <w:p>
      <w:pPr>
        <w:pageBreakBefore w:val="0"/>
        <w:kinsoku/>
        <w:wordWrap/>
        <w:overflowPunct/>
        <w:topLinePunct w:val="0"/>
        <w:bidi w:val="0"/>
        <w:spacing w:line="578" w:lineRule="exact"/>
        <w:ind w:firstLine="643" w:firstLineChars="200"/>
        <w:textAlignment w:val="auto"/>
        <w:rPr>
          <w:rFonts w:hint="eastAsia"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年“三公”经费财政拨款支出决算中，因公出国（境）费支出决算</w:t>
      </w:r>
      <w:r>
        <w:rPr>
          <w:rFonts w:hint="eastAsia" w:eastAsia="方正仿宋简体" w:cs="Times New Roman"/>
          <w:b/>
          <w:bCs/>
          <w:color w:val="auto"/>
          <w:sz w:val="32"/>
          <w:szCs w:val="32"/>
          <w:highlight w:val="none"/>
          <w:lang w:val="en-US" w:eastAsia="zh-CN"/>
        </w:rPr>
        <w:t>0</w:t>
      </w:r>
      <w:r>
        <w:rPr>
          <w:rFonts w:hint="eastAsia" w:ascii="Times New Roman" w:hAnsi="Times New Roman" w:eastAsia="方正仿宋简体" w:cs="Times New Roman"/>
          <w:b/>
          <w:bCs/>
          <w:color w:val="auto"/>
          <w:sz w:val="32"/>
          <w:szCs w:val="32"/>
          <w:highlight w:val="none"/>
        </w:rPr>
        <w:t>万元</w:t>
      </w:r>
      <w:r>
        <w:rPr>
          <w:rFonts w:hint="eastAsia" w:eastAsia="方正仿宋简体" w:cs="Times New Roman"/>
          <w:b/>
          <w:bCs/>
          <w:color w:val="auto"/>
          <w:sz w:val="32"/>
          <w:szCs w:val="32"/>
          <w:highlight w:val="none"/>
          <w:lang w:eastAsia="zh-CN"/>
        </w:rPr>
        <w:t>；</w:t>
      </w:r>
      <w:r>
        <w:rPr>
          <w:rFonts w:hint="eastAsia" w:ascii="Times New Roman" w:hAnsi="Times New Roman" w:eastAsia="方正仿宋简体" w:cs="Times New Roman"/>
          <w:b/>
          <w:bCs/>
          <w:color w:val="auto"/>
          <w:sz w:val="32"/>
          <w:szCs w:val="32"/>
          <w:highlight w:val="none"/>
        </w:rPr>
        <w:t>公务用车购置及运行维护费支出决算</w:t>
      </w:r>
      <w:r>
        <w:rPr>
          <w:rFonts w:hint="eastAsia" w:eastAsia="方正仿宋简体" w:cs="Times New Roman"/>
          <w:b/>
          <w:bCs/>
          <w:color w:val="auto"/>
          <w:sz w:val="32"/>
          <w:szCs w:val="32"/>
          <w:highlight w:val="none"/>
          <w:lang w:val="en-US" w:eastAsia="zh-CN"/>
        </w:rPr>
        <w:t>0</w:t>
      </w:r>
      <w:r>
        <w:rPr>
          <w:rFonts w:hint="eastAsia" w:ascii="Times New Roman" w:hAnsi="Times New Roman" w:eastAsia="方正仿宋简体" w:cs="Times New Roman"/>
          <w:b/>
          <w:bCs/>
          <w:color w:val="auto"/>
          <w:sz w:val="32"/>
          <w:szCs w:val="32"/>
          <w:highlight w:val="none"/>
        </w:rPr>
        <w:t>万元；公务接待费支出决算</w:t>
      </w:r>
      <w:r>
        <w:rPr>
          <w:rFonts w:hint="eastAsia" w:eastAsia="方正仿宋简体" w:cs="Times New Roman"/>
          <w:b/>
          <w:bCs/>
          <w:color w:val="auto"/>
          <w:sz w:val="32"/>
          <w:szCs w:val="32"/>
          <w:highlight w:val="none"/>
          <w:lang w:val="en-US" w:eastAsia="zh-CN"/>
        </w:rPr>
        <w:t>2.4</w:t>
      </w:r>
      <w:r>
        <w:rPr>
          <w:rFonts w:hint="eastAsia" w:ascii="Times New Roman" w:hAnsi="Times New Roman" w:eastAsia="方正仿宋简体" w:cs="Times New Roman"/>
          <w:b/>
          <w:bCs/>
          <w:color w:val="auto"/>
          <w:sz w:val="32"/>
          <w:szCs w:val="32"/>
          <w:highlight w:val="none"/>
        </w:rPr>
        <w:t>万元，占</w:t>
      </w:r>
      <w:r>
        <w:rPr>
          <w:rFonts w:hint="eastAsia" w:eastAsia="方正仿宋简体" w:cs="Times New Roman"/>
          <w:b/>
          <w:bCs/>
          <w:color w:val="auto"/>
          <w:sz w:val="32"/>
          <w:szCs w:val="32"/>
          <w:highlight w:val="none"/>
          <w:lang w:val="en-US" w:eastAsia="zh-CN"/>
        </w:rPr>
        <w:t>100</w:t>
      </w:r>
      <w:r>
        <w:rPr>
          <w:rFonts w:hint="eastAsia" w:ascii="Times New Roman" w:hAnsi="Times New Roman" w:eastAsia="方正仿宋简体" w:cs="Times New Roman"/>
          <w:b/>
          <w:bCs/>
          <w:color w:val="auto"/>
          <w:sz w:val="32"/>
          <w:szCs w:val="32"/>
          <w:highlight w:val="none"/>
        </w:rPr>
        <w:t>%。具体情况如下：</w:t>
      </w:r>
    </w:p>
    <w:p>
      <w:pPr>
        <w:pageBreakBefore w:val="0"/>
        <w:kinsoku/>
        <w:wordWrap/>
        <w:overflowPunct/>
        <w:topLinePunct w:val="0"/>
        <w:bidi w:val="0"/>
        <w:spacing w:line="578" w:lineRule="exact"/>
        <w:ind w:firstLine="643" w:firstLineChars="200"/>
        <w:textAlignment w:val="auto"/>
        <w:rPr>
          <w:rFonts w:hint="eastAsia"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eastAsia" w:ascii="Times New Roman" w:hAnsi="Times New Roman" w:eastAsia="方正仿宋简体" w:cs="Times New Roman"/>
          <w:b/>
          <w:bCs/>
          <w:color w:val="auto"/>
          <w:sz w:val="32"/>
          <w:szCs w:val="32"/>
          <w:highlight w:val="none"/>
        </w:rPr>
        <w:t>公务接待费支出</w:t>
      </w:r>
      <w:r>
        <w:rPr>
          <w:rFonts w:hint="eastAsia" w:eastAsia="方正仿宋简体" w:cs="Times New Roman"/>
          <w:b/>
          <w:bCs/>
          <w:color w:val="auto"/>
          <w:sz w:val="32"/>
          <w:szCs w:val="32"/>
          <w:highlight w:val="none"/>
          <w:lang w:val="en-US" w:eastAsia="zh-CN"/>
        </w:rPr>
        <w:t>2.4</w:t>
      </w:r>
      <w:r>
        <w:rPr>
          <w:rFonts w:hint="eastAsia" w:ascii="Times New Roman" w:hAnsi="Times New Roman" w:eastAsia="方正仿宋简体" w:cs="Times New Roman"/>
          <w:b/>
          <w:bCs/>
          <w:color w:val="auto"/>
          <w:sz w:val="32"/>
          <w:szCs w:val="32"/>
          <w:highlight w:val="none"/>
        </w:rPr>
        <w:t>万元，完成预算</w:t>
      </w:r>
      <w:r>
        <w:rPr>
          <w:rFonts w:hint="eastAsia" w:eastAsia="方正仿宋简体" w:cs="Times New Roman"/>
          <w:b/>
          <w:bCs/>
          <w:color w:val="auto"/>
          <w:sz w:val="32"/>
          <w:szCs w:val="32"/>
          <w:highlight w:val="none"/>
          <w:lang w:val="en-US" w:eastAsia="zh-CN"/>
        </w:rPr>
        <w:t>100</w:t>
      </w:r>
      <w:r>
        <w:rPr>
          <w:rFonts w:hint="eastAsia" w:ascii="Times New Roman" w:hAnsi="Times New Roman" w:eastAsia="方正仿宋简体" w:cs="Times New Roman"/>
          <w:b/>
          <w:bCs/>
          <w:color w:val="auto"/>
          <w:sz w:val="32"/>
          <w:szCs w:val="32"/>
          <w:highlight w:val="none"/>
        </w:rPr>
        <w:t>%。公务接待费支出决算比20</w:t>
      </w:r>
      <w:r>
        <w:rPr>
          <w:rFonts w:hint="eastAsia" w:ascii="Times New Roman" w:hAnsi="Times New Roman" w:eastAsia="方正仿宋简体" w:cs="Times New Roman"/>
          <w:b/>
          <w:bCs/>
          <w:color w:val="auto"/>
          <w:sz w:val="32"/>
          <w:szCs w:val="32"/>
          <w:highlight w:val="none"/>
          <w:lang w:val="en-US" w:eastAsia="zh-CN"/>
        </w:rPr>
        <w:t>21</w:t>
      </w:r>
      <w:r>
        <w:rPr>
          <w:rFonts w:hint="eastAsia" w:ascii="Times New Roman" w:hAnsi="Times New Roman" w:eastAsia="方正仿宋简体" w:cs="Times New Roman"/>
          <w:b/>
          <w:bCs/>
          <w:color w:val="auto"/>
          <w:sz w:val="32"/>
          <w:szCs w:val="32"/>
          <w:highlight w:val="none"/>
        </w:rPr>
        <w:t>年增加/减少</w:t>
      </w:r>
      <w:r>
        <w:rPr>
          <w:rFonts w:hint="eastAsia" w:eastAsia="方正仿宋简体" w:cs="Times New Roman"/>
          <w:b/>
          <w:bCs/>
          <w:color w:val="auto"/>
          <w:sz w:val="32"/>
          <w:szCs w:val="32"/>
          <w:highlight w:val="none"/>
          <w:lang w:val="en-US" w:eastAsia="zh-CN"/>
        </w:rPr>
        <w:t>0.6</w:t>
      </w:r>
      <w:r>
        <w:rPr>
          <w:rFonts w:hint="eastAsia" w:ascii="Times New Roman" w:hAnsi="Times New Roman" w:eastAsia="方正仿宋简体" w:cs="Times New Roman"/>
          <w:b/>
          <w:bCs/>
          <w:color w:val="auto"/>
          <w:sz w:val="32"/>
          <w:szCs w:val="32"/>
          <w:highlight w:val="none"/>
        </w:rPr>
        <w:t>万元，增长/下降</w:t>
      </w:r>
      <w:r>
        <w:rPr>
          <w:rFonts w:hint="eastAsia" w:eastAsia="方正仿宋简体" w:cs="Times New Roman"/>
          <w:b/>
          <w:bCs/>
          <w:color w:val="auto"/>
          <w:sz w:val="32"/>
          <w:szCs w:val="32"/>
          <w:highlight w:val="none"/>
          <w:lang w:val="en-US" w:eastAsia="zh-CN"/>
        </w:rPr>
        <w:t>20</w:t>
      </w:r>
      <w:r>
        <w:rPr>
          <w:rFonts w:hint="eastAsia" w:ascii="Times New Roman" w:hAnsi="Times New Roman" w:eastAsia="方正仿宋简体" w:cs="Times New Roman"/>
          <w:b/>
          <w:bCs/>
          <w:color w:val="auto"/>
          <w:sz w:val="32"/>
          <w:szCs w:val="32"/>
          <w:highlight w:val="none"/>
        </w:rPr>
        <w:t>%。主要原因是</w:t>
      </w:r>
      <w:r>
        <w:rPr>
          <w:rFonts w:hint="eastAsia" w:eastAsia="方正仿宋简体" w:cs="Times New Roman"/>
          <w:b/>
          <w:bCs/>
          <w:color w:val="auto"/>
          <w:sz w:val="32"/>
          <w:szCs w:val="32"/>
          <w:highlight w:val="none"/>
          <w:lang w:eastAsia="zh-CN"/>
        </w:rPr>
        <w:t>公务接待的次数减少了</w:t>
      </w:r>
      <w:r>
        <w:rPr>
          <w:rFonts w:hint="eastAsia" w:ascii="Times New Roman" w:hAnsi="Times New Roman" w:eastAsia="方正仿宋简体" w:cs="Times New Roman"/>
          <w:b/>
          <w:bCs/>
          <w:color w:val="auto"/>
          <w:sz w:val="32"/>
          <w:szCs w:val="32"/>
          <w:highlight w:val="none"/>
        </w:rPr>
        <w:t>。其中：国内公务接待支出</w:t>
      </w:r>
      <w:r>
        <w:rPr>
          <w:rFonts w:hint="eastAsia" w:eastAsia="方正仿宋简体" w:cs="Times New Roman"/>
          <w:b/>
          <w:bCs/>
          <w:color w:val="auto"/>
          <w:sz w:val="32"/>
          <w:szCs w:val="32"/>
          <w:highlight w:val="none"/>
          <w:lang w:val="en-US" w:eastAsia="zh-CN"/>
        </w:rPr>
        <w:t>2.4</w:t>
      </w:r>
      <w:r>
        <w:rPr>
          <w:rFonts w:hint="eastAsia" w:ascii="Times New Roman" w:hAnsi="Times New Roman" w:eastAsia="方正仿宋简体" w:cs="Times New Roman"/>
          <w:b/>
          <w:bCs/>
          <w:color w:val="auto"/>
          <w:sz w:val="32"/>
          <w:szCs w:val="32"/>
          <w:highlight w:val="none"/>
        </w:rPr>
        <w:t>万元，主要用于执行公务、开展业务活动开支的用餐费等。</w:t>
      </w:r>
      <w:r>
        <w:rPr>
          <w:rFonts w:hint="eastAsia" w:ascii="Times New Roman" w:hAnsi="Times New Roman" w:eastAsia="方正仿宋简体" w:cs="Times New Roman"/>
          <w:b/>
          <w:bCs/>
          <w:color w:val="000000" w:themeColor="text1"/>
          <w:sz w:val="32"/>
          <w:szCs w:val="32"/>
          <w:highlight w:val="none"/>
          <w14:textFill>
            <w14:solidFill>
              <w14:schemeClr w14:val="tx1"/>
            </w14:solidFill>
          </w14:textFill>
        </w:rPr>
        <w:t>国内公务接待</w:t>
      </w:r>
      <w:r>
        <w:rPr>
          <w:rFonts w:hint="eastAsia" w:eastAsia="方正仿宋简体" w:cs="Times New Roman"/>
          <w:b/>
          <w:bCs/>
          <w:color w:val="000000" w:themeColor="text1"/>
          <w:sz w:val="32"/>
          <w:szCs w:val="32"/>
          <w:highlight w:val="none"/>
          <w:lang w:val="en-US" w:eastAsia="zh-CN"/>
          <w14:textFill>
            <w14:solidFill>
              <w14:schemeClr w14:val="tx1"/>
            </w14:solidFill>
          </w14:textFill>
        </w:rPr>
        <w:t>29</w:t>
      </w:r>
      <w:r>
        <w:rPr>
          <w:rFonts w:hint="eastAsia" w:ascii="Times New Roman" w:hAnsi="Times New Roman" w:eastAsia="方正仿宋简体" w:cs="Times New Roman"/>
          <w:b/>
          <w:bCs/>
          <w:color w:val="000000" w:themeColor="text1"/>
          <w:sz w:val="32"/>
          <w:szCs w:val="32"/>
          <w:highlight w:val="none"/>
          <w14:textFill>
            <w14:solidFill>
              <w14:schemeClr w14:val="tx1"/>
            </w14:solidFill>
          </w14:textFill>
        </w:rPr>
        <w:t>批次，</w:t>
      </w:r>
      <w:r>
        <w:rPr>
          <w:rFonts w:hint="eastAsia" w:eastAsia="方正仿宋简体" w:cs="Times New Roman"/>
          <w:b/>
          <w:bCs/>
          <w:color w:val="000000" w:themeColor="text1"/>
          <w:sz w:val="32"/>
          <w:szCs w:val="32"/>
          <w:highlight w:val="none"/>
          <w:lang w:val="en-US" w:eastAsia="zh-CN"/>
          <w14:textFill>
            <w14:solidFill>
              <w14:schemeClr w14:val="tx1"/>
            </w14:solidFill>
          </w14:textFill>
        </w:rPr>
        <w:t>203</w:t>
      </w:r>
      <w:r>
        <w:rPr>
          <w:rFonts w:hint="eastAsia" w:ascii="Times New Roman" w:hAnsi="Times New Roman" w:eastAsia="方正仿宋简体" w:cs="Times New Roman"/>
          <w:b/>
          <w:bCs/>
          <w:color w:val="000000" w:themeColor="text1"/>
          <w:sz w:val="32"/>
          <w:szCs w:val="32"/>
          <w:highlight w:val="none"/>
          <w14:textFill>
            <w14:solidFill>
              <w14:schemeClr w14:val="tx1"/>
            </w14:solidFill>
          </w14:textFill>
        </w:rPr>
        <w:t>人次（不包括陪同人员），共计支出</w:t>
      </w:r>
      <w:r>
        <w:rPr>
          <w:rFonts w:hint="eastAsia" w:eastAsia="方正仿宋简体" w:cs="Times New Roman"/>
          <w:b/>
          <w:bCs/>
          <w:color w:val="000000" w:themeColor="text1"/>
          <w:sz w:val="32"/>
          <w:szCs w:val="32"/>
          <w:highlight w:val="none"/>
          <w:lang w:val="en-US" w:eastAsia="zh-CN"/>
          <w14:textFill>
            <w14:solidFill>
              <w14:schemeClr w14:val="tx1"/>
            </w14:solidFill>
          </w14:textFill>
        </w:rPr>
        <w:t>2.4</w:t>
      </w:r>
      <w:r>
        <w:rPr>
          <w:rFonts w:hint="eastAsia" w:ascii="Times New Roman" w:hAnsi="Times New Roman" w:eastAsia="方正仿宋简体" w:cs="Times New Roman"/>
          <w:b/>
          <w:bCs/>
          <w:color w:val="000000" w:themeColor="text1"/>
          <w:sz w:val="32"/>
          <w:szCs w:val="32"/>
          <w:highlight w:val="none"/>
          <w14:textFill>
            <w14:solidFill>
              <w14:schemeClr w14:val="tx1"/>
            </w14:solidFill>
          </w14:textFill>
        </w:rPr>
        <w:t>万元，具体内容包括：</w:t>
      </w:r>
      <w:r>
        <w:rPr>
          <w:rFonts w:hint="eastAsia" w:eastAsia="方正仿宋简体" w:cs="Times New Roman"/>
          <w:b/>
          <w:bCs/>
          <w:color w:val="000000" w:themeColor="text1"/>
          <w:sz w:val="32"/>
          <w:szCs w:val="32"/>
          <w:highlight w:val="none"/>
          <w:lang w:eastAsia="zh-CN"/>
          <w14:textFill>
            <w14:solidFill>
              <w14:schemeClr w14:val="tx1"/>
            </w14:solidFill>
          </w14:textFill>
        </w:rPr>
        <w:t>接待省、市档案部门的指导、调研工作，接待其他县区档案馆来馆交流学习等</w:t>
      </w:r>
      <w:r>
        <w:rPr>
          <w:rFonts w:hint="eastAsia" w:ascii="Times New Roman" w:hAnsi="Times New Roman" w:eastAsia="方正仿宋简体" w:cs="Times New Roman"/>
          <w:b/>
          <w:bCs/>
          <w:color w:val="000000" w:themeColor="text1"/>
          <w:sz w:val="32"/>
          <w:szCs w:val="32"/>
          <w:highlight w:val="none"/>
          <w14:textFill>
            <w14:solidFill>
              <w14:schemeClr w14:val="tx1"/>
            </w14:solidFill>
          </w14:textFill>
        </w:rPr>
        <w:t>。</w:t>
      </w:r>
    </w:p>
    <w:p>
      <w:pPr>
        <w:pageBreakBefore w:val="0"/>
        <w:tabs>
          <w:tab w:val="right" w:pos="8306"/>
        </w:tabs>
        <w:kinsoku/>
        <w:wordWrap/>
        <w:overflowPunct/>
        <w:topLinePunct w:val="0"/>
        <w:bidi w:val="0"/>
        <w:spacing w:line="578" w:lineRule="exact"/>
        <w:ind w:firstLine="640"/>
        <w:textAlignment w:val="auto"/>
        <w:outlineLvl w:val="1"/>
        <w:rPr>
          <w:rFonts w:hint="eastAsia" w:ascii="方正黑体简体" w:hAnsi="方正黑体简体" w:eastAsia="方正黑体简体" w:cs="方正黑体简体"/>
          <w:b/>
          <w:bCs/>
          <w:color w:val="auto"/>
          <w:kern w:val="2"/>
          <w:sz w:val="32"/>
          <w:szCs w:val="32"/>
          <w:highlight w:val="none"/>
          <w:lang w:val="en-US" w:eastAsia="zh-CN" w:bidi="ar-SA"/>
        </w:rPr>
      </w:pPr>
      <w:bookmarkStart w:id="42" w:name="_Toc15396610"/>
      <w:bookmarkStart w:id="43" w:name="_Toc15377218"/>
      <w:r>
        <w:rPr>
          <w:rFonts w:hint="eastAsia" w:ascii="方正黑体简体" w:hAnsi="方正黑体简体" w:eastAsia="方正黑体简体" w:cs="方正黑体简体"/>
          <w:b/>
          <w:bCs/>
          <w:color w:val="auto"/>
          <w:kern w:val="2"/>
          <w:sz w:val="32"/>
          <w:szCs w:val="32"/>
          <w:highlight w:val="none"/>
          <w:lang w:val="en-US" w:eastAsia="zh-CN" w:bidi="ar-SA"/>
        </w:rPr>
        <w:t>八、政府性基金预算支出决算情况说明</w:t>
      </w:r>
      <w:bookmarkEnd w:id="42"/>
      <w:bookmarkEnd w:id="43"/>
    </w:p>
    <w:p>
      <w:pPr>
        <w:pageBreakBefore w:val="0"/>
        <w:kinsoku/>
        <w:wordWrap/>
        <w:overflowPunct/>
        <w:topLinePunct w:val="0"/>
        <w:bidi w:val="0"/>
        <w:spacing w:line="578" w:lineRule="exact"/>
        <w:ind w:firstLine="643" w:firstLineChars="200"/>
        <w:textAlignment w:val="auto"/>
        <w:rPr>
          <w:rFonts w:hint="eastAsia"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年政府性基金预算</w:t>
      </w:r>
      <w:r>
        <w:rPr>
          <w:rFonts w:hint="eastAsia" w:ascii="Times New Roman" w:hAnsi="Times New Roman" w:eastAsia="方正仿宋简体" w:cs="Times New Roman"/>
          <w:b/>
          <w:bCs/>
          <w:color w:val="auto"/>
          <w:sz w:val="32"/>
          <w:szCs w:val="32"/>
          <w:highlight w:val="none"/>
          <w:lang w:eastAsia="zh-CN"/>
        </w:rPr>
        <w:t>财政</w:t>
      </w:r>
      <w:r>
        <w:rPr>
          <w:rFonts w:hint="eastAsia" w:ascii="Times New Roman" w:hAnsi="Times New Roman" w:eastAsia="方正仿宋简体" w:cs="Times New Roman"/>
          <w:b/>
          <w:bCs/>
          <w:color w:val="auto"/>
          <w:sz w:val="32"/>
          <w:szCs w:val="32"/>
          <w:highlight w:val="none"/>
        </w:rPr>
        <w:t>拨款支出</w:t>
      </w:r>
      <w:r>
        <w:rPr>
          <w:rFonts w:hint="eastAsia" w:eastAsia="方正仿宋简体" w:cs="Times New Roman"/>
          <w:b/>
          <w:bCs/>
          <w:color w:val="auto"/>
          <w:sz w:val="32"/>
          <w:szCs w:val="32"/>
          <w:highlight w:val="none"/>
          <w:lang w:val="en-US" w:eastAsia="zh-CN"/>
        </w:rPr>
        <w:t>0</w:t>
      </w:r>
      <w:r>
        <w:rPr>
          <w:rFonts w:hint="eastAsia" w:ascii="Times New Roman" w:hAnsi="Times New Roman" w:eastAsia="方正仿宋简体" w:cs="Times New Roman"/>
          <w:b/>
          <w:bCs/>
          <w:color w:val="auto"/>
          <w:sz w:val="32"/>
          <w:szCs w:val="32"/>
          <w:highlight w:val="none"/>
        </w:rPr>
        <w:t>万元。</w:t>
      </w:r>
    </w:p>
    <w:p>
      <w:pPr>
        <w:pageBreakBefore w:val="0"/>
        <w:tabs>
          <w:tab w:val="right" w:pos="8306"/>
        </w:tabs>
        <w:kinsoku/>
        <w:wordWrap/>
        <w:overflowPunct/>
        <w:topLinePunct w:val="0"/>
        <w:bidi w:val="0"/>
        <w:spacing w:line="578" w:lineRule="exact"/>
        <w:ind w:firstLine="640"/>
        <w:textAlignment w:val="auto"/>
        <w:outlineLvl w:val="1"/>
        <w:rPr>
          <w:rFonts w:hint="eastAsia" w:ascii="方正黑体简体" w:hAnsi="方正黑体简体" w:eastAsia="方正黑体简体" w:cs="方正黑体简体"/>
          <w:b/>
          <w:bCs/>
          <w:color w:val="auto"/>
          <w:kern w:val="2"/>
          <w:sz w:val="32"/>
          <w:szCs w:val="32"/>
          <w:highlight w:val="none"/>
          <w:lang w:val="en-US" w:eastAsia="zh-CN" w:bidi="ar-SA"/>
        </w:rPr>
      </w:pPr>
      <w:bookmarkStart w:id="44" w:name="_Toc15396611"/>
      <w:bookmarkStart w:id="45" w:name="_Toc15377219"/>
      <w:r>
        <w:rPr>
          <w:rFonts w:hint="eastAsia" w:ascii="方正黑体简体" w:hAnsi="方正黑体简体" w:eastAsia="方正黑体简体" w:cs="方正黑体简体"/>
          <w:b/>
          <w:bCs/>
          <w:color w:val="auto"/>
          <w:kern w:val="2"/>
          <w:sz w:val="32"/>
          <w:szCs w:val="32"/>
          <w:highlight w:val="none"/>
          <w:lang w:val="en-US" w:eastAsia="zh-CN" w:bidi="ar-SA"/>
        </w:rPr>
        <w:t>九、国有资本经营预算支出决算情况说明</w:t>
      </w:r>
      <w:bookmarkEnd w:id="44"/>
      <w:bookmarkEnd w:id="45"/>
    </w:p>
    <w:p>
      <w:pPr>
        <w:pageBreakBefore w:val="0"/>
        <w:kinsoku/>
        <w:wordWrap/>
        <w:overflowPunct/>
        <w:topLinePunct w:val="0"/>
        <w:bidi w:val="0"/>
        <w:spacing w:line="578" w:lineRule="exact"/>
        <w:ind w:firstLine="643" w:firstLineChars="200"/>
        <w:textAlignment w:val="auto"/>
        <w:rPr>
          <w:rFonts w:ascii="方正小标宋简体" w:hAnsi="方正小标宋简体" w:eastAsia="方正小标宋简体" w:cs="方正小标宋简体"/>
          <w:color w:val="auto"/>
          <w:sz w:val="44"/>
          <w:szCs w:val="44"/>
          <w:highlight w:val="none"/>
        </w:rPr>
      </w:pPr>
      <w:r>
        <w:rPr>
          <w:rFonts w:hint="eastAsia"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年国有资本经营预算</w:t>
      </w:r>
      <w:r>
        <w:rPr>
          <w:rFonts w:hint="eastAsia" w:ascii="Times New Roman" w:hAnsi="Times New Roman" w:eastAsia="方正仿宋简体" w:cs="Times New Roman"/>
          <w:b/>
          <w:bCs/>
          <w:color w:val="auto"/>
          <w:sz w:val="32"/>
          <w:szCs w:val="32"/>
          <w:highlight w:val="none"/>
          <w:lang w:eastAsia="zh-CN"/>
        </w:rPr>
        <w:t>财政</w:t>
      </w:r>
      <w:r>
        <w:rPr>
          <w:rFonts w:hint="eastAsia" w:ascii="Times New Roman" w:hAnsi="Times New Roman" w:eastAsia="方正仿宋简体" w:cs="Times New Roman"/>
          <w:b/>
          <w:bCs/>
          <w:color w:val="auto"/>
          <w:sz w:val="32"/>
          <w:szCs w:val="32"/>
          <w:highlight w:val="none"/>
        </w:rPr>
        <w:t>拨款支出</w:t>
      </w:r>
      <w:r>
        <w:rPr>
          <w:rFonts w:hint="eastAsia" w:eastAsia="方正仿宋简体" w:cs="Times New Roman"/>
          <w:b/>
          <w:bCs/>
          <w:color w:val="auto"/>
          <w:sz w:val="32"/>
          <w:szCs w:val="32"/>
          <w:highlight w:val="none"/>
          <w:lang w:val="en-US" w:eastAsia="zh-CN"/>
        </w:rPr>
        <w:t>0</w:t>
      </w:r>
      <w:r>
        <w:rPr>
          <w:rFonts w:hint="eastAsia" w:ascii="Times New Roman" w:hAnsi="Times New Roman" w:eastAsia="方正仿宋简体" w:cs="Times New Roman"/>
          <w:b/>
          <w:bCs/>
          <w:color w:val="auto"/>
          <w:sz w:val="32"/>
          <w:szCs w:val="32"/>
          <w:highlight w:val="none"/>
        </w:rPr>
        <w:t>万元。</w:t>
      </w:r>
    </w:p>
    <w:p>
      <w:pPr>
        <w:pageBreakBefore w:val="0"/>
        <w:tabs>
          <w:tab w:val="right" w:pos="8306"/>
        </w:tabs>
        <w:kinsoku/>
        <w:wordWrap/>
        <w:overflowPunct/>
        <w:topLinePunct w:val="0"/>
        <w:bidi w:val="0"/>
        <w:spacing w:line="578" w:lineRule="exact"/>
        <w:ind w:firstLine="640"/>
        <w:textAlignment w:val="auto"/>
        <w:outlineLvl w:val="1"/>
        <w:rPr>
          <w:rFonts w:hint="eastAsia" w:ascii="方正黑体简体" w:hAnsi="方正黑体简体" w:eastAsia="方正黑体简体" w:cs="方正黑体简体"/>
          <w:b/>
          <w:bCs/>
          <w:color w:val="auto"/>
          <w:kern w:val="2"/>
          <w:sz w:val="32"/>
          <w:szCs w:val="32"/>
          <w:highlight w:val="none"/>
          <w:lang w:val="en-US" w:eastAsia="zh-CN" w:bidi="ar-SA"/>
        </w:rPr>
      </w:pPr>
      <w:bookmarkStart w:id="46" w:name="_Toc15377221"/>
      <w:bookmarkStart w:id="47" w:name="_Toc15396612"/>
      <w:r>
        <w:rPr>
          <w:rFonts w:hint="eastAsia" w:ascii="方正黑体简体" w:hAnsi="方正黑体简体" w:eastAsia="方正黑体简体" w:cs="方正黑体简体"/>
          <w:b/>
          <w:bCs/>
          <w:color w:val="auto"/>
          <w:kern w:val="2"/>
          <w:sz w:val="32"/>
          <w:szCs w:val="32"/>
          <w:highlight w:val="none"/>
          <w:lang w:val="en-US" w:eastAsia="zh-CN" w:bidi="ar-SA"/>
        </w:rPr>
        <w:t>十、其他重要事项的情况说明</w:t>
      </w:r>
      <w:bookmarkEnd w:id="46"/>
      <w:bookmarkEnd w:id="47"/>
    </w:p>
    <w:p>
      <w:pPr>
        <w:pageBreakBefore w:val="0"/>
        <w:kinsoku/>
        <w:wordWrap/>
        <w:overflowPunct/>
        <w:topLinePunct w:val="0"/>
        <w:bidi w:val="0"/>
        <w:spacing w:line="578" w:lineRule="exact"/>
        <w:ind w:firstLine="640"/>
        <w:textAlignment w:val="auto"/>
        <w:outlineLvl w:val="2"/>
        <w:rPr>
          <w:rFonts w:hint="eastAsia" w:ascii="方正楷体简体" w:hAnsi="方正楷体简体" w:eastAsia="方正楷体简体" w:cs="方正楷体简体"/>
          <w:b/>
          <w:color w:val="auto"/>
          <w:sz w:val="32"/>
          <w:szCs w:val="32"/>
          <w:highlight w:val="none"/>
        </w:rPr>
      </w:pPr>
      <w:bookmarkStart w:id="48" w:name="_Toc15377222"/>
      <w:r>
        <w:rPr>
          <w:rFonts w:hint="eastAsia" w:ascii="方正楷体简体" w:hAnsi="方正楷体简体" w:eastAsia="方正楷体简体" w:cs="方正楷体简体"/>
          <w:b/>
          <w:color w:val="auto"/>
          <w:sz w:val="32"/>
          <w:szCs w:val="32"/>
          <w:highlight w:val="none"/>
        </w:rPr>
        <w:t>（一）机关运行经费支出情况</w:t>
      </w:r>
      <w:bookmarkEnd w:id="48"/>
    </w:p>
    <w:p>
      <w:pPr>
        <w:pageBreakBefore w:val="0"/>
        <w:kinsoku/>
        <w:wordWrap/>
        <w:overflowPunct/>
        <w:topLinePunct w:val="0"/>
        <w:bidi w:val="0"/>
        <w:spacing w:line="578" w:lineRule="exact"/>
        <w:ind w:firstLine="643" w:firstLineChars="200"/>
        <w:textAlignment w:val="auto"/>
        <w:rPr>
          <w:rFonts w:hint="eastAsia" w:ascii="Times New Roman" w:hAnsi="Times New Roman" w:eastAsia="方正仿宋简体" w:cs="Times New Roman"/>
          <w:b/>
          <w:bCs/>
          <w:color w:val="auto"/>
          <w:sz w:val="32"/>
          <w:szCs w:val="32"/>
          <w:highlight w:val="none"/>
          <w:lang w:eastAsia="zh-CN"/>
        </w:rPr>
      </w:pPr>
      <w:r>
        <w:rPr>
          <w:rFonts w:hint="eastAsia"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w:t>
      </w:r>
      <w:r>
        <w:rPr>
          <w:rFonts w:hint="eastAsia" w:eastAsia="方正仿宋简体" w:cs="Times New Roman"/>
          <w:b/>
          <w:bCs/>
          <w:color w:val="auto"/>
          <w:sz w:val="32"/>
          <w:szCs w:val="32"/>
          <w:highlight w:val="none"/>
          <w:lang w:eastAsia="zh-CN"/>
        </w:rPr>
        <w:t>泸县档案馆</w:t>
      </w:r>
      <w:r>
        <w:rPr>
          <w:rFonts w:hint="eastAsia" w:ascii="Times New Roman" w:hAnsi="Times New Roman" w:eastAsia="方正仿宋简体" w:cs="Times New Roman"/>
          <w:b/>
          <w:bCs/>
          <w:color w:val="auto"/>
          <w:sz w:val="32"/>
          <w:szCs w:val="32"/>
          <w:highlight w:val="none"/>
        </w:rPr>
        <w:t>机关运行经费支出</w:t>
      </w:r>
      <w:r>
        <w:rPr>
          <w:rFonts w:hint="eastAsia" w:eastAsia="方正仿宋简体" w:cs="Times New Roman"/>
          <w:b/>
          <w:bCs/>
          <w:color w:val="auto"/>
          <w:sz w:val="32"/>
          <w:szCs w:val="32"/>
          <w:highlight w:val="none"/>
          <w:lang w:val="en-US" w:eastAsia="zh-CN"/>
        </w:rPr>
        <w:t>32.46</w:t>
      </w:r>
      <w:r>
        <w:rPr>
          <w:rFonts w:hint="eastAsia" w:ascii="Times New Roman" w:hAnsi="Times New Roman" w:eastAsia="方正仿宋简体" w:cs="Times New Roman"/>
          <w:b/>
          <w:bCs/>
          <w:color w:val="auto"/>
          <w:sz w:val="32"/>
          <w:szCs w:val="32"/>
          <w:highlight w:val="none"/>
        </w:rPr>
        <w:t>万元，比20</w:t>
      </w:r>
      <w:r>
        <w:rPr>
          <w:rFonts w:hint="eastAsia" w:ascii="Times New Roman" w:hAnsi="Times New Roman" w:eastAsia="方正仿宋简体" w:cs="Times New Roman"/>
          <w:b/>
          <w:bCs/>
          <w:color w:val="auto"/>
          <w:sz w:val="32"/>
          <w:szCs w:val="32"/>
          <w:highlight w:val="none"/>
          <w:lang w:val="en-US" w:eastAsia="zh-CN"/>
        </w:rPr>
        <w:t>21</w:t>
      </w:r>
      <w:r>
        <w:rPr>
          <w:rFonts w:hint="eastAsia" w:ascii="Times New Roman" w:hAnsi="Times New Roman" w:eastAsia="方正仿宋简体" w:cs="Times New Roman"/>
          <w:b/>
          <w:bCs/>
          <w:color w:val="auto"/>
          <w:sz w:val="32"/>
          <w:szCs w:val="32"/>
          <w:highlight w:val="none"/>
        </w:rPr>
        <w:t>年减少</w:t>
      </w:r>
      <w:r>
        <w:rPr>
          <w:rFonts w:hint="eastAsia" w:eastAsia="方正仿宋简体" w:cs="Times New Roman"/>
          <w:b/>
          <w:bCs/>
          <w:color w:val="auto"/>
          <w:sz w:val="32"/>
          <w:szCs w:val="32"/>
          <w:highlight w:val="none"/>
          <w:lang w:val="en-US" w:eastAsia="zh-CN"/>
        </w:rPr>
        <w:t>3.42</w:t>
      </w:r>
      <w:r>
        <w:rPr>
          <w:rFonts w:hint="eastAsia" w:ascii="Times New Roman" w:hAnsi="Times New Roman" w:eastAsia="方正仿宋简体" w:cs="Times New Roman"/>
          <w:b/>
          <w:bCs/>
          <w:color w:val="auto"/>
          <w:sz w:val="32"/>
          <w:szCs w:val="32"/>
          <w:highlight w:val="none"/>
        </w:rPr>
        <w:t>万元，下降</w:t>
      </w:r>
      <w:r>
        <w:rPr>
          <w:rFonts w:hint="eastAsia" w:eastAsia="方正仿宋简体" w:cs="Times New Roman"/>
          <w:b/>
          <w:bCs/>
          <w:color w:val="auto"/>
          <w:sz w:val="32"/>
          <w:szCs w:val="32"/>
          <w:highlight w:val="none"/>
          <w:lang w:val="en-US" w:eastAsia="zh-CN"/>
        </w:rPr>
        <w:t>9.53</w:t>
      </w:r>
      <w:r>
        <w:rPr>
          <w:rFonts w:hint="eastAsia" w:ascii="Times New Roman" w:hAnsi="Times New Roman" w:eastAsia="方正仿宋简体" w:cs="Times New Roman"/>
          <w:b/>
          <w:bCs/>
          <w:color w:val="auto"/>
          <w:sz w:val="32"/>
          <w:szCs w:val="32"/>
          <w:highlight w:val="none"/>
        </w:rPr>
        <w:t>%。主要原因是</w:t>
      </w:r>
      <w:r>
        <w:rPr>
          <w:rFonts w:hint="eastAsia" w:eastAsia="方正仿宋简体" w:cs="Times New Roman"/>
          <w:b/>
          <w:bCs/>
          <w:color w:val="auto"/>
          <w:sz w:val="32"/>
          <w:szCs w:val="32"/>
          <w:highlight w:val="none"/>
          <w:lang w:eastAsia="zh-CN"/>
        </w:rPr>
        <w:t>公务接待费较</w:t>
      </w:r>
      <w:r>
        <w:rPr>
          <w:rFonts w:hint="eastAsia" w:eastAsia="方正仿宋简体" w:cs="Times New Roman"/>
          <w:b/>
          <w:bCs/>
          <w:color w:val="auto"/>
          <w:sz w:val="32"/>
          <w:szCs w:val="32"/>
          <w:highlight w:val="none"/>
          <w:lang w:val="en-US" w:eastAsia="zh-CN"/>
        </w:rPr>
        <w:t>2021年度有减少，2022年度有</w:t>
      </w:r>
      <w:r>
        <w:rPr>
          <w:rFonts w:hint="eastAsia" w:eastAsia="方正仿宋简体" w:cs="Times New Roman"/>
          <w:b/>
          <w:bCs/>
          <w:color w:val="auto"/>
          <w:sz w:val="32"/>
          <w:szCs w:val="32"/>
          <w:highlight w:val="none"/>
          <w:lang w:eastAsia="zh-CN"/>
        </w:rPr>
        <w:t>人员调出，日常公用经费较</w:t>
      </w:r>
      <w:r>
        <w:rPr>
          <w:rFonts w:hint="eastAsia" w:eastAsia="方正仿宋简体" w:cs="Times New Roman"/>
          <w:b/>
          <w:bCs/>
          <w:color w:val="auto"/>
          <w:sz w:val="32"/>
          <w:szCs w:val="32"/>
          <w:highlight w:val="none"/>
          <w:lang w:val="en-US" w:eastAsia="zh-CN"/>
        </w:rPr>
        <w:t>2021年度也有减少</w:t>
      </w:r>
      <w:r>
        <w:rPr>
          <w:rFonts w:hint="eastAsia" w:ascii="Times New Roman" w:hAnsi="Times New Roman" w:eastAsia="方正仿宋简体" w:cs="Times New Roman"/>
          <w:b/>
          <w:bCs/>
          <w:color w:val="auto"/>
          <w:sz w:val="32"/>
          <w:szCs w:val="32"/>
          <w:highlight w:val="none"/>
          <w:lang w:eastAsia="zh-CN"/>
        </w:rPr>
        <w:t>。</w:t>
      </w:r>
    </w:p>
    <w:p>
      <w:pPr>
        <w:pageBreakBefore w:val="0"/>
        <w:kinsoku/>
        <w:wordWrap/>
        <w:overflowPunct/>
        <w:topLinePunct w:val="0"/>
        <w:bidi w:val="0"/>
        <w:spacing w:line="578" w:lineRule="exact"/>
        <w:ind w:firstLine="640"/>
        <w:textAlignment w:val="auto"/>
        <w:outlineLvl w:val="2"/>
        <w:rPr>
          <w:rFonts w:hint="eastAsia" w:ascii="方正楷体简体" w:hAnsi="方正楷体简体" w:eastAsia="方正楷体简体" w:cs="方正楷体简体"/>
          <w:b/>
          <w:color w:val="auto"/>
          <w:sz w:val="32"/>
          <w:szCs w:val="32"/>
          <w:highlight w:val="none"/>
        </w:rPr>
      </w:pPr>
      <w:bookmarkStart w:id="49" w:name="_Toc15377223"/>
      <w:r>
        <w:rPr>
          <w:rFonts w:hint="eastAsia" w:ascii="方正楷体简体" w:hAnsi="方正楷体简体" w:eastAsia="方正楷体简体" w:cs="方正楷体简体"/>
          <w:b/>
          <w:color w:val="auto"/>
          <w:sz w:val="32"/>
          <w:szCs w:val="32"/>
          <w:highlight w:val="none"/>
        </w:rPr>
        <w:t>（二）政府采购支出情况</w:t>
      </w:r>
      <w:bookmarkEnd w:id="49"/>
    </w:p>
    <w:p>
      <w:pPr>
        <w:pageBreakBefore w:val="0"/>
        <w:kinsoku/>
        <w:wordWrap/>
        <w:overflowPunct/>
        <w:topLinePunct w:val="0"/>
        <w:bidi w:val="0"/>
        <w:spacing w:line="578" w:lineRule="exact"/>
        <w:ind w:firstLine="643" w:firstLineChars="200"/>
        <w:textAlignment w:val="auto"/>
        <w:rPr>
          <w:rFonts w:hint="eastAsia"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w:t>
      </w:r>
      <w:r>
        <w:rPr>
          <w:rFonts w:hint="eastAsia" w:eastAsia="方正仿宋简体" w:cs="Times New Roman"/>
          <w:b/>
          <w:bCs/>
          <w:color w:val="auto"/>
          <w:sz w:val="32"/>
          <w:szCs w:val="32"/>
          <w:highlight w:val="none"/>
          <w:lang w:eastAsia="zh-CN"/>
        </w:rPr>
        <w:t>我单位</w:t>
      </w:r>
      <w:r>
        <w:rPr>
          <w:rFonts w:hint="eastAsia" w:ascii="Times New Roman" w:hAnsi="Times New Roman" w:eastAsia="方正仿宋简体" w:cs="Times New Roman"/>
          <w:b/>
          <w:bCs/>
          <w:color w:val="auto"/>
          <w:sz w:val="32"/>
          <w:szCs w:val="32"/>
          <w:highlight w:val="none"/>
        </w:rPr>
        <w:t>政府采购支出总额</w:t>
      </w:r>
      <w:r>
        <w:rPr>
          <w:rFonts w:hint="eastAsia" w:eastAsia="方正仿宋简体" w:cs="Times New Roman"/>
          <w:b/>
          <w:bCs/>
          <w:color w:val="auto"/>
          <w:sz w:val="32"/>
          <w:szCs w:val="32"/>
          <w:highlight w:val="none"/>
          <w:lang w:val="en-US" w:eastAsia="zh-CN"/>
        </w:rPr>
        <w:t>0</w:t>
      </w:r>
      <w:r>
        <w:rPr>
          <w:rFonts w:hint="eastAsia" w:ascii="Times New Roman" w:hAnsi="Times New Roman" w:eastAsia="方正仿宋简体" w:cs="Times New Roman"/>
          <w:b/>
          <w:bCs/>
          <w:color w:val="auto"/>
          <w:sz w:val="32"/>
          <w:szCs w:val="32"/>
          <w:highlight w:val="none"/>
        </w:rPr>
        <w:t>万元。</w:t>
      </w:r>
    </w:p>
    <w:p>
      <w:pPr>
        <w:pageBreakBefore w:val="0"/>
        <w:kinsoku/>
        <w:wordWrap/>
        <w:overflowPunct/>
        <w:topLinePunct w:val="0"/>
        <w:bidi w:val="0"/>
        <w:spacing w:line="578" w:lineRule="exact"/>
        <w:ind w:firstLine="640"/>
        <w:textAlignment w:val="auto"/>
        <w:outlineLvl w:val="2"/>
        <w:rPr>
          <w:rFonts w:hint="eastAsia" w:ascii="方正楷体简体" w:hAnsi="方正楷体简体" w:eastAsia="方正楷体简体" w:cs="方正楷体简体"/>
          <w:b/>
          <w:color w:val="auto"/>
          <w:sz w:val="32"/>
          <w:szCs w:val="32"/>
          <w:highlight w:val="none"/>
        </w:rPr>
      </w:pPr>
      <w:bookmarkStart w:id="50" w:name="_Toc15377224"/>
      <w:r>
        <w:rPr>
          <w:rFonts w:hint="eastAsia" w:ascii="方正楷体简体" w:hAnsi="方正楷体简体" w:eastAsia="方正楷体简体" w:cs="方正楷体简体"/>
          <w:b/>
          <w:color w:val="auto"/>
          <w:sz w:val="32"/>
          <w:szCs w:val="32"/>
          <w:highlight w:val="none"/>
        </w:rPr>
        <w:t>（三）国有资产占有使用情况</w:t>
      </w:r>
      <w:bookmarkEnd w:id="50"/>
    </w:p>
    <w:p>
      <w:pPr>
        <w:pageBreakBefore w:val="0"/>
        <w:kinsoku/>
        <w:wordWrap/>
        <w:overflowPunct/>
        <w:topLinePunct w:val="0"/>
        <w:bidi w:val="0"/>
        <w:spacing w:line="578" w:lineRule="exact"/>
        <w:ind w:firstLine="643" w:firstLineChars="200"/>
        <w:textAlignment w:val="auto"/>
        <w:rPr>
          <w:rFonts w:hint="eastAsia"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rPr>
        <w:t>截至20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年12月31日，</w:t>
      </w:r>
      <w:r>
        <w:rPr>
          <w:rFonts w:hint="eastAsia" w:eastAsia="方正仿宋简体" w:cs="Times New Roman"/>
          <w:b/>
          <w:bCs/>
          <w:color w:val="auto"/>
          <w:sz w:val="32"/>
          <w:szCs w:val="32"/>
          <w:highlight w:val="none"/>
          <w:lang w:eastAsia="zh-CN"/>
        </w:rPr>
        <w:t>我单位无车辆</w:t>
      </w:r>
      <w:r>
        <w:rPr>
          <w:rFonts w:hint="eastAsia" w:ascii="Times New Roman" w:hAnsi="Times New Roman" w:eastAsia="方正仿宋简体" w:cs="Times New Roman"/>
          <w:b/>
          <w:bCs/>
          <w:color w:val="auto"/>
          <w:sz w:val="32"/>
          <w:szCs w:val="32"/>
          <w:highlight w:val="none"/>
        </w:rPr>
        <w:t>。</w:t>
      </w:r>
    </w:p>
    <w:p>
      <w:pPr>
        <w:pageBreakBefore w:val="0"/>
        <w:kinsoku/>
        <w:wordWrap/>
        <w:overflowPunct/>
        <w:topLinePunct w:val="0"/>
        <w:bidi w:val="0"/>
        <w:spacing w:line="578" w:lineRule="exact"/>
        <w:ind w:firstLine="640"/>
        <w:textAlignment w:val="auto"/>
        <w:outlineLvl w:val="2"/>
        <w:rPr>
          <w:rFonts w:hint="eastAsia" w:ascii="方正楷体简体" w:hAnsi="方正楷体简体" w:eastAsia="方正楷体简体" w:cs="方正楷体简体"/>
          <w:b/>
          <w:color w:val="auto"/>
          <w:sz w:val="32"/>
          <w:szCs w:val="32"/>
          <w:highlight w:val="none"/>
        </w:rPr>
      </w:pPr>
      <w:r>
        <w:rPr>
          <w:rFonts w:hint="eastAsia" w:ascii="方正楷体简体" w:hAnsi="方正楷体简体" w:eastAsia="方正楷体简体" w:cs="方正楷体简体"/>
          <w:b/>
          <w:color w:val="auto"/>
          <w:sz w:val="32"/>
          <w:szCs w:val="32"/>
          <w:highlight w:val="none"/>
        </w:rPr>
        <w:t>（四）预算绩效管理情况</w:t>
      </w:r>
    </w:p>
    <w:p>
      <w:pPr>
        <w:pageBreakBefore w:val="0"/>
        <w:kinsoku/>
        <w:wordWrap/>
        <w:overflowPunct/>
        <w:topLinePunct w:val="0"/>
        <w:bidi w:val="0"/>
        <w:spacing w:line="578" w:lineRule="exact"/>
        <w:ind w:firstLine="643" w:firstLineChars="200"/>
        <w:textAlignment w:val="auto"/>
        <w:rPr>
          <w:rFonts w:hint="eastAsia"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rPr>
        <w:t>根据预算绩效管理要求，</w:t>
      </w:r>
      <w:r>
        <w:rPr>
          <w:rFonts w:hint="eastAsia" w:eastAsia="方正仿宋简体" w:cs="Times New Roman"/>
          <w:b/>
          <w:bCs/>
          <w:color w:val="auto"/>
          <w:sz w:val="32"/>
          <w:szCs w:val="32"/>
          <w:highlight w:val="none"/>
          <w:lang w:eastAsia="zh-CN"/>
        </w:rPr>
        <w:t>我馆</w:t>
      </w:r>
      <w:r>
        <w:rPr>
          <w:rFonts w:hint="eastAsia" w:ascii="Times New Roman" w:hAnsi="Times New Roman" w:eastAsia="方正仿宋简体" w:cs="Times New Roman"/>
          <w:b/>
          <w:bCs/>
          <w:color w:val="auto"/>
          <w:sz w:val="32"/>
          <w:szCs w:val="32"/>
          <w:highlight w:val="none"/>
        </w:rPr>
        <w:t>在202</w:t>
      </w:r>
      <w:r>
        <w:rPr>
          <w:rFonts w:hint="eastAsia" w:ascii="Times New Roman" w:hAnsi="Times New Roman" w:eastAsia="方正仿宋简体" w:cs="Times New Roman"/>
          <w:b/>
          <w:bCs/>
          <w:color w:val="auto"/>
          <w:sz w:val="32"/>
          <w:szCs w:val="32"/>
          <w:highlight w:val="none"/>
          <w:lang w:val="en-US" w:eastAsia="zh-CN"/>
        </w:rPr>
        <w:t>2</w:t>
      </w:r>
      <w:r>
        <w:rPr>
          <w:rFonts w:hint="eastAsia" w:ascii="Times New Roman" w:hAnsi="Times New Roman" w:eastAsia="方正仿宋简体" w:cs="Times New Roman"/>
          <w:b/>
          <w:bCs/>
          <w:color w:val="auto"/>
          <w:sz w:val="32"/>
          <w:szCs w:val="32"/>
          <w:highlight w:val="none"/>
        </w:rPr>
        <w:t>年度预算编制阶段，组织对</w:t>
      </w:r>
      <w:r>
        <w:rPr>
          <w:rFonts w:hint="eastAsia" w:eastAsia="方正仿宋简体" w:cs="Times New Roman"/>
          <w:b/>
          <w:bCs/>
          <w:color w:val="auto"/>
          <w:sz w:val="32"/>
          <w:szCs w:val="32"/>
          <w:highlight w:val="none"/>
          <w:lang w:eastAsia="zh-CN"/>
        </w:rPr>
        <w:t>运转类</w:t>
      </w:r>
      <w:r>
        <w:rPr>
          <w:rFonts w:hint="eastAsia" w:ascii="Times New Roman" w:hAnsi="Times New Roman" w:eastAsia="方正仿宋简体" w:cs="Times New Roman"/>
          <w:b/>
          <w:bCs/>
          <w:color w:val="auto"/>
          <w:sz w:val="32"/>
          <w:szCs w:val="32"/>
          <w:highlight w:val="none"/>
        </w:rPr>
        <w:t>项目</w:t>
      </w:r>
      <w:r>
        <w:rPr>
          <w:rFonts w:hint="eastAsia" w:eastAsia="方正仿宋简体" w:cs="Times New Roman"/>
          <w:b/>
          <w:bCs/>
          <w:color w:val="auto"/>
          <w:sz w:val="32"/>
          <w:szCs w:val="32"/>
          <w:highlight w:val="none"/>
          <w:lang w:eastAsia="zh-CN"/>
        </w:rPr>
        <w:t>、特定类项目</w:t>
      </w:r>
      <w:r>
        <w:rPr>
          <w:rFonts w:hint="eastAsia" w:ascii="Times New Roman" w:hAnsi="Times New Roman" w:eastAsia="方正仿宋简体" w:cs="Times New Roman"/>
          <w:b/>
          <w:bCs/>
          <w:color w:val="auto"/>
          <w:sz w:val="32"/>
          <w:szCs w:val="32"/>
          <w:highlight w:val="none"/>
        </w:rPr>
        <w:t>开展了预算事前绩效评估，对</w:t>
      </w:r>
      <w:r>
        <w:rPr>
          <w:rFonts w:hint="eastAsia" w:eastAsia="方正仿宋简体" w:cs="Times New Roman"/>
          <w:b/>
          <w:bCs/>
          <w:color w:val="auto"/>
          <w:sz w:val="32"/>
          <w:szCs w:val="32"/>
          <w:highlight w:val="none"/>
          <w:lang w:eastAsia="zh-CN"/>
        </w:rPr>
        <w:t>运转类、特定类</w:t>
      </w:r>
      <w:r>
        <w:rPr>
          <w:rFonts w:hint="eastAsia" w:ascii="Times New Roman" w:hAnsi="Times New Roman" w:eastAsia="方正仿宋简体" w:cs="Times New Roman"/>
          <w:b/>
          <w:bCs/>
          <w:color w:val="auto"/>
          <w:sz w:val="32"/>
          <w:szCs w:val="32"/>
          <w:highlight w:val="none"/>
        </w:rPr>
        <w:t>项目编制了绩效目标，预算执行过程中，</w:t>
      </w:r>
      <w:r>
        <w:rPr>
          <w:rFonts w:hint="eastAsia" w:eastAsia="方正仿宋简体" w:cs="Times New Roman"/>
          <w:b/>
          <w:bCs/>
          <w:color w:val="auto"/>
          <w:sz w:val="32"/>
          <w:szCs w:val="32"/>
          <w:highlight w:val="none"/>
          <w:lang w:eastAsia="zh-CN"/>
        </w:rPr>
        <w:t>对</w:t>
      </w:r>
      <w:r>
        <w:rPr>
          <w:rFonts w:hint="eastAsia" w:ascii="Times New Roman" w:hAnsi="Times New Roman" w:eastAsia="方正仿宋简体" w:cs="Times New Roman"/>
          <w:b/>
          <w:bCs/>
          <w:color w:val="auto"/>
          <w:sz w:val="32"/>
          <w:szCs w:val="32"/>
          <w:highlight w:val="none"/>
        </w:rPr>
        <w:t>项目开展</w:t>
      </w:r>
      <w:r>
        <w:rPr>
          <w:rFonts w:hint="eastAsia" w:eastAsia="方正仿宋简体" w:cs="Times New Roman"/>
          <w:b/>
          <w:bCs/>
          <w:color w:val="auto"/>
          <w:sz w:val="32"/>
          <w:szCs w:val="32"/>
          <w:highlight w:val="none"/>
          <w:lang w:eastAsia="zh-CN"/>
        </w:rPr>
        <w:t>了</w:t>
      </w:r>
      <w:r>
        <w:rPr>
          <w:rFonts w:hint="eastAsia" w:ascii="Times New Roman" w:hAnsi="Times New Roman" w:eastAsia="方正仿宋简体" w:cs="Times New Roman"/>
          <w:b/>
          <w:bCs/>
          <w:color w:val="auto"/>
          <w:sz w:val="32"/>
          <w:szCs w:val="32"/>
          <w:highlight w:val="none"/>
        </w:rPr>
        <w:t>绩效监控。</w:t>
      </w:r>
    </w:p>
    <w:p>
      <w:pPr>
        <w:pageBreakBefore w:val="0"/>
        <w:kinsoku/>
        <w:wordWrap/>
        <w:overflowPunct/>
        <w:topLinePunct w:val="0"/>
        <w:bidi w:val="0"/>
        <w:spacing w:line="578" w:lineRule="exact"/>
        <w:ind w:firstLine="643" w:firstLineChars="200"/>
        <w:textAlignment w:val="auto"/>
        <w:rPr>
          <w:rFonts w:hint="eastAsia"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rPr>
        <w:t>组织对2022年度一般公共预算全面开展绩效自评，形成</w:t>
      </w:r>
      <w:r>
        <w:rPr>
          <w:rFonts w:hint="eastAsia" w:eastAsia="方正仿宋简体" w:cs="Times New Roman"/>
          <w:b/>
          <w:bCs/>
          <w:color w:val="auto"/>
          <w:sz w:val="32"/>
          <w:szCs w:val="32"/>
          <w:highlight w:val="none"/>
          <w:lang w:eastAsia="zh-CN"/>
        </w:rPr>
        <w:t>泸县档案馆</w:t>
      </w:r>
      <w:r>
        <w:rPr>
          <w:rFonts w:hint="eastAsia" w:ascii="Times New Roman" w:hAnsi="Times New Roman" w:eastAsia="方正仿宋简体" w:cs="Times New Roman"/>
          <w:b/>
          <w:bCs/>
          <w:color w:val="auto"/>
          <w:sz w:val="32"/>
          <w:szCs w:val="32"/>
          <w:highlight w:val="none"/>
        </w:rPr>
        <w:t>部门整体绩效自评报告</w:t>
      </w:r>
      <w:r>
        <w:rPr>
          <w:rFonts w:hint="eastAsia" w:eastAsia="方正仿宋简体" w:cs="Times New Roman"/>
          <w:b/>
          <w:bCs/>
          <w:color w:val="auto"/>
          <w:sz w:val="32"/>
          <w:szCs w:val="32"/>
          <w:highlight w:val="none"/>
          <w:lang w:eastAsia="zh-CN"/>
        </w:rPr>
        <w:t>（</w:t>
      </w:r>
      <w:r>
        <w:rPr>
          <w:rFonts w:hint="eastAsia" w:ascii="Times New Roman" w:hAnsi="Times New Roman" w:eastAsia="方正仿宋简体" w:cs="Times New Roman"/>
          <w:b/>
          <w:bCs/>
          <w:color w:val="auto"/>
          <w:sz w:val="32"/>
          <w:szCs w:val="32"/>
          <w:highlight w:val="none"/>
        </w:rPr>
        <w:t>详见附件</w:t>
      </w:r>
      <w:r>
        <w:rPr>
          <w:rFonts w:hint="eastAsia" w:eastAsia="方正仿宋简体" w:cs="Times New Roman"/>
          <w:b/>
          <w:bCs/>
          <w:color w:val="auto"/>
          <w:sz w:val="32"/>
          <w:szCs w:val="32"/>
          <w:highlight w:val="none"/>
          <w:lang w:eastAsia="zh-CN"/>
        </w:rPr>
        <w:t>）</w:t>
      </w:r>
      <w:r>
        <w:rPr>
          <w:rFonts w:hint="eastAsia" w:ascii="Times New Roman" w:hAnsi="Times New Roman" w:eastAsia="方正仿宋简体" w:cs="Times New Roman"/>
          <w:b/>
          <w:bCs/>
          <w:color w:val="auto"/>
          <w:sz w:val="32"/>
          <w:szCs w:val="32"/>
          <w:highlight w:val="none"/>
        </w:rPr>
        <w:t>。</w:t>
      </w:r>
    </w:p>
    <w:p>
      <w:pPr>
        <w:pStyle w:val="5"/>
        <w:pageBreakBefore w:val="0"/>
        <w:kinsoku/>
        <w:wordWrap/>
        <w:overflowPunct/>
        <w:topLinePunct w:val="0"/>
        <w:bidi w:val="0"/>
        <w:spacing w:beforeLines="0"/>
        <w:rPr>
          <w:rFonts w:hint="eastAsia" w:ascii="Times New Roman" w:hAnsi="Times New Roman" w:eastAsia="方正仿宋简体" w:cs="Times New Roman"/>
          <w:b/>
          <w:bCs/>
          <w:color w:val="auto"/>
          <w:sz w:val="32"/>
          <w:szCs w:val="32"/>
          <w:highlight w:val="none"/>
        </w:rPr>
      </w:pPr>
    </w:p>
    <w:p>
      <w:pPr>
        <w:pStyle w:val="5"/>
        <w:pageBreakBefore w:val="0"/>
        <w:kinsoku/>
        <w:wordWrap/>
        <w:overflowPunct/>
        <w:topLinePunct w:val="0"/>
        <w:bidi w:val="0"/>
        <w:spacing w:beforeLines="0"/>
        <w:rPr>
          <w:rFonts w:hint="eastAsia" w:ascii="Times New Roman" w:hAnsi="Times New Roman" w:eastAsia="方正仿宋简体" w:cs="Times New Roman"/>
          <w:b/>
          <w:bCs/>
          <w:color w:val="auto"/>
          <w:sz w:val="32"/>
          <w:szCs w:val="32"/>
          <w:highlight w:val="none"/>
        </w:rPr>
      </w:pPr>
    </w:p>
    <w:p>
      <w:pPr>
        <w:pStyle w:val="5"/>
        <w:pageBreakBefore w:val="0"/>
        <w:kinsoku/>
        <w:wordWrap/>
        <w:overflowPunct/>
        <w:topLinePunct w:val="0"/>
        <w:bidi w:val="0"/>
        <w:spacing w:beforeLines="0"/>
        <w:rPr>
          <w:rFonts w:hint="eastAsia" w:ascii="Times New Roman" w:hAnsi="Times New Roman" w:eastAsia="方正仿宋简体" w:cs="Times New Roman"/>
          <w:b/>
          <w:bCs/>
          <w:color w:val="auto"/>
          <w:sz w:val="32"/>
          <w:szCs w:val="32"/>
          <w:highlight w:val="none"/>
        </w:rPr>
      </w:pPr>
    </w:p>
    <w:p>
      <w:pPr>
        <w:pStyle w:val="5"/>
        <w:pageBreakBefore w:val="0"/>
        <w:kinsoku/>
        <w:wordWrap/>
        <w:overflowPunct/>
        <w:topLinePunct w:val="0"/>
        <w:bidi w:val="0"/>
        <w:spacing w:beforeLines="0"/>
        <w:rPr>
          <w:rFonts w:hint="eastAsia" w:ascii="Times New Roman" w:hAnsi="Times New Roman" w:eastAsia="方正仿宋简体" w:cs="Times New Roman"/>
          <w:b/>
          <w:bCs/>
          <w:color w:val="auto"/>
          <w:sz w:val="32"/>
          <w:szCs w:val="32"/>
          <w:highlight w:val="none"/>
        </w:rPr>
      </w:pPr>
    </w:p>
    <w:p>
      <w:pPr>
        <w:pStyle w:val="5"/>
        <w:pageBreakBefore w:val="0"/>
        <w:kinsoku/>
        <w:wordWrap/>
        <w:overflowPunct/>
        <w:topLinePunct w:val="0"/>
        <w:bidi w:val="0"/>
        <w:spacing w:beforeLines="0"/>
        <w:rPr>
          <w:rFonts w:hint="eastAsia" w:ascii="Times New Roman" w:hAnsi="Times New Roman" w:eastAsia="方正仿宋简体" w:cs="Times New Roman"/>
          <w:b/>
          <w:bCs/>
          <w:color w:val="auto"/>
          <w:sz w:val="32"/>
          <w:szCs w:val="32"/>
          <w:highlight w:val="none"/>
        </w:rPr>
      </w:pPr>
    </w:p>
    <w:p>
      <w:pPr>
        <w:pStyle w:val="5"/>
        <w:pageBreakBefore w:val="0"/>
        <w:kinsoku/>
        <w:wordWrap/>
        <w:overflowPunct/>
        <w:topLinePunct w:val="0"/>
        <w:bidi w:val="0"/>
        <w:spacing w:beforeLines="0"/>
        <w:rPr>
          <w:rFonts w:hint="eastAsia" w:ascii="Times New Roman" w:hAnsi="Times New Roman" w:eastAsia="方正仿宋简体" w:cs="Times New Roman"/>
          <w:b/>
          <w:bCs/>
          <w:color w:val="auto"/>
          <w:sz w:val="32"/>
          <w:szCs w:val="32"/>
          <w:highlight w:val="none"/>
        </w:rPr>
      </w:pPr>
    </w:p>
    <w:p>
      <w:pPr>
        <w:pStyle w:val="5"/>
        <w:pageBreakBefore w:val="0"/>
        <w:kinsoku/>
        <w:wordWrap/>
        <w:overflowPunct/>
        <w:topLinePunct w:val="0"/>
        <w:bidi w:val="0"/>
        <w:spacing w:beforeLines="0"/>
        <w:rPr>
          <w:rFonts w:hint="eastAsia" w:ascii="Times New Roman" w:hAnsi="Times New Roman" w:eastAsia="方正仿宋简体" w:cs="Times New Roman"/>
          <w:b/>
          <w:bCs/>
          <w:color w:val="auto"/>
          <w:sz w:val="32"/>
          <w:szCs w:val="32"/>
          <w:highlight w:val="none"/>
        </w:rPr>
      </w:pPr>
    </w:p>
    <w:p>
      <w:pPr>
        <w:pStyle w:val="5"/>
        <w:pageBreakBefore w:val="0"/>
        <w:kinsoku/>
        <w:wordWrap/>
        <w:overflowPunct/>
        <w:topLinePunct w:val="0"/>
        <w:bidi w:val="0"/>
        <w:spacing w:beforeLines="0"/>
        <w:rPr>
          <w:rFonts w:hint="eastAsia" w:ascii="Times New Roman" w:hAnsi="Times New Roman" w:eastAsia="方正仿宋简体" w:cs="Times New Roman"/>
          <w:b/>
          <w:bCs/>
          <w:color w:val="auto"/>
          <w:sz w:val="32"/>
          <w:szCs w:val="32"/>
          <w:highlight w:val="none"/>
        </w:rPr>
      </w:pPr>
    </w:p>
    <w:p>
      <w:pPr>
        <w:pStyle w:val="5"/>
        <w:pageBreakBefore w:val="0"/>
        <w:kinsoku/>
        <w:wordWrap/>
        <w:overflowPunct/>
        <w:topLinePunct w:val="0"/>
        <w:bidi w:val="0"/>
        <w:spacing w:beforeLines="0"/>
        <w:rPr>
          <w:rFonts w:hint="eastAsia" w:ascii="Times New Roman" w:hAnsi="Times New Roman" w:eastAsia="方正仿宋简体" w:cs="Times New Roman"/>
          <w:b/>
          <w:bCs/>
          <w:color w:val="auto"/>
          <w:sz w:val="32"/>
          <w:szCs w:val="32"/>
          <w:highlight w:val="none"/>
        </w:rPr>
      </w:pPr>
    </w:p>
    <w:p>
      <w:pPr>
        <w:pStyle w:val="5"/>
        <w:pageBreakBefore w:val="0"/>
        <w:kinsoku/>
        <w:wordWrap/>
        <w:overflowPunct/>
        <w:topLinePunct w:val="0"/>
        <w:bidi w:val="0"/>
        <w:spacing w:beforeLines="0"/>
        <w:rPr>
          <w:rFonts w:hint="eastAsia" w:ascii="Times New Roman" w:hAnsi="Times New Roman" w:eastAsia="方正仿宋简体" w:cs="Times New Roman"/>
          <w:b/>
          <w:bCs/>
          <w:color w:val="auto"/>
          <w:sz w:val="32"/>
          <w:szCs w:val="32"/>
          <w:highlight w:val="none"/>
        </w:rPr>
      </w:pPr>
    </w:p>
    <w:p>
      <w:pPr>
        <w:pStyle w:val="5"/>
        <w:pageBreakBefore w:val="0"/>
        <w:kinsoku/>
        <w:wordWrap/>
        <w:overflowPunct/>
        <w:topLinePunct w:val="0"/>
        <w:bidi w:val="0"/>
        <w:spacing w:beforeLines="0"/>
        <w:rPr>
          <w:rFonts w:hint="eastAsia" w:ascii="Times New Roman" w:hAnsi="Times New Roman" w:eastAsia="方正仿宋简体" w:cs="Times New Roman"/>
          <w:b/>
          <w:bCs/>
          <w:color w:val="auto"/>
          <w:sz w:val="32"/>
          <w:szCs w:val="32"/>
          <w:highlight w:val="none"/>
        </w:rPr>
      </w:pPr>
    </w:p>
    <w:p>
      <w:pPr>
        <w:pStyle w:val="5"/>
        <w:pageBreakBefore w:val="0"/>
        <w:kinsoku/>
        <w:wordWrap/>
        <w:overflowPunct/>
        <w:topLinePunct w:val="0"/>
        <w:bidi w:val="0"/>
        <w:spacing w:beforeLines="0"/>
        <w:rPr>
          <w:rFonts w:hint="eastAsia" w:ascii="Times New Roman" w:hAnsi="Times New Roman" w:eastAsia="方正仿宋简体" w:cs="Times New Roman"/>
          <w:b/>
          <w:bCs/>
          <w:color w:val="auto"/>
          <w:sz w:val="32"/>
          <w:szCs w:val="32"/>
          <w:highlight w:val="none"/>
        </w:rPr>
      </w:pPr>
    </w:p>
    <w:p>
      <w:pPr>
        <w:pStyle w:val="5"/>
        <w:pageBreakBefore w:val="0"/>
        <w:kinsoku/>
        <w:wordWrap/>
        <w:overflowPunct/>
        <w:topLinePunct w:val="0"/>
        <w:bidi w:val="0"/>
        <w:spacing w:beforeLines="0"/>
        <w:rPr>
          <w:rFonts w:hint="eastAsia" w:ascii="Times New Roman" w:hAnsi="Times New Roman" w:eastAsia="方正仿宋简体" w:cs="Times New Roman"/>
          <w:b/>
          <w:bCs/>
          <w:color w:val="auto"/>
          <w:sz w:val="32"/>
          <w:szCs w:val="32"/>
          <w:highlight w:val="none"/>
        </w:rPr>
      </w:pPr>
    </w:p>
    <w:p>
      <w:pPr>
        <w:pStyle w:val="5"/>
        <w:pageBreakBefore w:val="0"/>
        <w:kinsoku/>
        <w:wordWrap/>
        <w:overflowPunct/>
        <w:topLinePunct w:val="0"/>
        <w:bidi w:val="0"/>
        <w:spacing w:beforeLines="0"/>
        <w:rPr>
          <w:rFonts w:hint="eastAsia" w:ascii="Times New Roman" w:hAnsi="Times New Roman" w:eastAsia="方正仿宋简体" w:cs="Times New Roman"/>
          <w:b/>
          <w:bCs/>
          <w:color w:val="auto"/>
          <w:sz w:val="32"/>
          <w:szCs w:val="32"/>
          <w:highlight w:val="none"/>
        </w:rPr>
      </w:pPr>
    </w:p>
    <w:p>
      <w:pPr>
        <w:pStyle w:val="5"/>
        <w:pageBreakBefore w:val="0"/>
        <w:kinsoku/>
        <w:wordWrap/>
        <w:overflowPunct/>
        <w:topLinePunct w:val="0"/>
        <w:bidi w:val="0"/>
        <w:spacing w:beforeLines="0"/>
        <w:rPr>
          <w:rFonts w:hint="eastAsia" w:ascii="Times New Roman" w:hAnsi="Times New Roman" w:eastAsia="方正仿宋简体" w:cs="Times New Roman"/>
          <w:b/>
          <w:bCs/>
          <w:color w:val="auto"/>
          <w:sz w:val="32"/>
          <w:szCs w:val="32"/>
          <w:highlight w:val="none"/>
        </w:rPr>
      </w:pPr>
    </w:p>
    <w:p>
      <w:pPr>
        <w:pStyle w:val="5"/>
        <w:pageBreakBefore w:val="0"/>
        <w:kinsoku/>
        <w:wordWrap/>
        <w:overflowPunct/>
        <w:topLinePunct w:val="0"/>
        <w:bidi w:val="0"/>
        <w:spacing w:beforeLines="0"/>
        <w:rPr>
          <w:rFonts w:hint="eastAsia" w:ascii="Times New Roman" w:hAnsi="Times New Roman" w:eastAsia="方正仿宋简体" w:cs="Times New Roman"/>
          <w:b/>
          <w:bCs/>
          <w:color w:val="auto"/>
          <w:sz w:val="32"/>
          <w:szCs w:val="32"/>
          <w:highlight w:val="none"/>
        </w:rPr>
      </w:pPr>
    </w:p>
    <w:p>
      <w:pPr>
        <w:pStyle w:val="5"/>
        <w:pageBreakBefore w:val="0"/>
        <w:kinsoku/>
        <w:wordWrap/>
        <w:overflowPunct/>
        <w:topLinePunct w:val="0"/>
        <w:bidi w:val="0"/>
        <w:spacing w:beforeLines="0"/>
        <w:rPr>
          <w:rFonts w:hint="eastAsia" w:ascii="Times New Roman" w:hAnsi="Times New Roman" w:eastAsia="方正仿宋简体" w:cs="Times New Roman"/>
          <w:b/>
          <w:bCs/>
          <w:color w:val="auto"/>
          <w:sz w:val="32"/>
          <w:szCs w:val="32"/>
          <w:highlight w:val="none"/>
        </w:rPr>
      </w:pPr>
    </w:p>
    <w:p>
      <w:pPr>
        <w:pageBreakBefore w:val="0"/>
        <w:numPr>
          <w:ilvl w:val="0"/>
          <w:numId w:val="3"/>
        </w:numPr>
        <w:kinsoku/>
        <w:wordWrap/>
        <w:overflowPunct/>
        <w:topLinePunct w:val="0"/>
        <w:bidi w:val="0"/>
        <w:spacing w:line="578" w:lineRule="exact"/>
        <w:ind w:firstLine="663" w:firstLineChars="150"/>
        <w:jc w:val="center"/>
        <w:textAlignment w:val="auto"/>
        <w:outlineLvl w:val="0"/>
        <w:rPr>
          <w:rStyle w:val="28"/>
          <w:rFonts w:hint="eastAsia" w:ascii="方正小标宋简体" w:hAnsi="方正小标宋简体" w:eastAsia="方正小标宋简体" w:cs="方正小标宋简体"/>
          <w:b/>
          <w:bCs/>
          <w:color w:val="auto"/>
          <w:highlight w:val="none"/>
        </w:rPr>
      </w:pPr>
      <w:bookmarkStart w:id="51" w:name="_Toc15377225"/>
      <w:bookmarkStart w:id="52" w:name="_Toc15396613"/>
      <w:r>
        <w:rPr>
          <w:rFonts w:hint="eastAsia" w:ascii="方正小标宋简体" w:hAnsi="方正小标宋简体" w:eastAsia="方正小标宋简体" w:cs="方正小标宋简体"/>
          <w:b/>
          <w:bCs/>
          <w:color w:val="auto"/>
          <w:sz w:val="44"/>
          <w:szCs w:val="44"/>
          <w:highlight w:val="none"/>
        </w:rPr>
        <w:t>名</w:t>
      </w:r>
      <w:r>
        <w:rPr>
          <w:rStyle w:val="28"/>
          <w:rFonts w:hint="eastAsia" w:ascii="方正小标宋简体" w:hAnsi="方正小标宋简体" w:eastAsia="方正小标宋简体" w:cs="方正小标宋简体"/>
          <w:b/>
          <w:bCs/>
          <w:color w:val="auto"/>
          <w:highlight w:val="none"/>
        </w:rPr>
        <w:t>词解释</w:t>
      </w:r>
      <w:bookmarkEnd w:id="51"/>
      <w:bookmarkEnd w:id="52"/>
    </w:p>
    <w:p>
      <w:pPr>
        <w:pageBreakBefore w:val="0"/>
        <w:kinsoku/>
        <w:wordWrap/>
        <w:overflowPunct/>
        <w:topLinePunct w:val="0"/>
        <w:bidi w:val="0"/>
        <w:spacing w:line="578" w:lineRule="exact"/>
        <w:jc w:val="left"/>
        <w:textAlignment w:val="auto"/>
        <w:rPr>
          <w:rFonts w:ascii="宋体"/>
          <w:b/>
          <w:color w:val="auto"/>
          <w:sz w:val="44"/>
          <w:szCs w:val="44"/>
          <w:highlight w:val="none"/>
        </w:rPr>
      </w:pPr>
    </w:p>
    <w:p>
      <w:pPr>
        <w:pStyle w:val="26"/>
        <w:pageBreakBefore w:val="0"/>
        <w:numPr>
          <w:ilvl w:val="0"/>
          <w:numId w:val="4"/>
        </w:numPr>
        <w:kinsoku/>
        <w:wordWrap/>
        <w:overflowPunct/>
        <w:topLinePunct w:val="0"/>
        <w:bidi w:val="0"/>
        <w:spacing w:line="578" w:lineRule="exact"/>
        <w:ind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财政拨款收入：指单位从同级财政部门取得的财政预算资金。</w:t>
      </w:r>
    </w:p>
    <w:p>
      <w:pPr>
        <w:pStyle w:val="26"/>
        <w:pageBreakBefore w:val="0"/>
        <w:numPr>
          <w:ilvl w:val="0"/>
          <w:numId w:val="4"/>
        </w:numPr>
        <w:kinsoku/>
        <w:wordWrap/>
        <w:overflowPunct/>
        <w:topLinePunct w:val="0"/>
        <w:bidi w:val="0"/>
        <w:spacing w:line="578" w:lineRule="exact"/>
        <w:ind w:left="0" w:leftChars="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 xml:space="preserve">年初结转和结余：指以前年度尚未完成、结转到本年按有关规定继续使用的资金。 </w:t>
      </w:r>
    </w:p>
    <w:p>
      <w:pPr>
        <w:pStyle w:val="26"/>
        <w:pageBreakBefore w:val="0"/>
        <w:numPr>
          <w:ilvl w:val="0"/>
          <w:numId w:val="4"/>
        </w:numPr>
        <w:kinsoku/>
        <w:wordWrap/>
        <w:overflowPunct/>
        <w:topLinePunct w:val="0"/>
        <w:bidi w:val="0"/>
        <w:spacing w:line="578" w:lineRule="exact"/>
        <w:ind w:left="0" w:leftChars="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年末结转和结余：指单位按有关规定结转到下年或以后年度继续使用的资金。</w:t>
      </w:r>
    </w:p>
    <w:p>
      <w:pPr>
        <w:pageBreakBefore w:val="0"/>
        <w:numPr>
          <w:ilvl w:val="0"/>
          <w:numId w:val="4"/>
        </w:numPr>
        <w:kinsoku/>
        <w:wordWrap/>
        <w:overflowPunct/>
        <w:topLinePunct w:val="0"/>
        <w:bidi w:val="0"/>
        <w:spacing w:line="578" w:lineRule="exact"/>
        <w:ind w:left="0" w:leftChars="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一般公共服务（类）档案事务（款）行政运行（项）：</w:t>
      </w:r>
    </w:p>
    <w:p>
      <w:pPr>
        <w:pageBreakBefore w:val="0"/>
        <w:numPr>
          <w:ilvl w:val="0"/>
          <w:numId w:val="0"/>
        </w:numPr>
        <w:kinsoku/>
        <w:wordWrap/>
        <w:overflowPunct/>
        <w:topLinePunct w:val="0"/>
        <w:bidi w:val="0"/>
        <w:spacing w:line="578" w:lineRule="exact"/>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color w:val="000000"/>
          <w:sz w:val="32"/>
          <w:szCs w:val="32"/>
        </w:rPr>
        <w:t>指反映档案事务方面的基本支出。</w:t>
      </w:r>
    </w:p>
    <w:p>
      <w:pPr>
        <w:pageBreakBefore w:val="0"/>
        <w:numPr>
          <w:ilvl w:val="0"/>
          <w:numId w:val="4"/>
        </w:numPr>
        <w:kinsoku/>
        <w:wordWrap/>
        <w:overflowPunct/>
        <w:topLinePunct w:val="0"/>
        <w:bidi w:val="0"/>
        <w:spacing w:line="578" w:lineRule="exact"/>
        <w:ind w:left="0" w:leftChars="0" w:firstLine="643" w:firstLineChars="200"/>
        <w:textAlignment w:val="auto"/>
        <w:rPr>
          <w:rFonts w:hint="eastAsia"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rPr>
        <w:t>社会保障和就业（类）</w:t>
      </w:r>
      <w:r>
        <w:rPr>
          <w:rFonts w:hint="eastAsia" w:eastAsia="方正仿宋简体" w:cs="Times New Roman"/>
          <w:b/>
          <w:bCs/>
          <w:color w:val="auto"/>
          <w:sz w:val="32"/>
          <w:szCs w:val="32"/>
          <w:highlight w:val="none"/>
          <w:lang w:eastAsia="zh-CN"/>
        </w:rPr>
        <w:t>行政事业单位养老支出</w:t>
      </w:r>
      <w:r>
        <w:rPr>
          <w:rFonts w:hint="eastAsia" w:ascii="Times New Roman" w:hAnsi="Times New Roman" w:eastAsia="方正仿宋简体" w:cs="Times New Roman"/>
          <w:b/>
          <w:bCs/>
          <w:color w:val="auto"/>
          <w:sz w:val="32"/>
          <w:szCs w:val="32"/>
          <w:highlight w:val="none"/>
        </w:rPr>
        <w:t>（款）</w:t>
      </w:r>
    </w:p>
    <w:p>
      <w:pPr>
        <w:pageBreakBefore w:val="0"/>
        <w:numPr>
          <w:ilvl w:val="0"/>
          <w:numId w:val="0"/>
        </w:numPr>
        <w:kinsoku/>
        <w:wordWrap/>
        <w:overflowPunct/>
        <w:topLinePunct w:val="0"/>
        <w:bidi w:val="0"/>
        <w:spacing w:line="578" w:lineRule="exact"/>
        <w:textAlignment w:val="auto"/>
        <w:rPr>
          <w:rFonts w:hint="default" w:ascii="Times New Roman" w:hAnsi="Times New Roman" w:eastAsia="方正仿宋简体" w:cs="Times New Roman"/>
          <w:b/>
          <w:color w:val="000000"/>
          <w:sz w:val="32"/>
          <w:szCs w:val="32"/>
        </w:rPr>
      </w:pPr>
      <w:r>
        <w:rPr>
          <w:rFonts w:hint="eastAsia" w:eastAsia="方正仿宋简体" w:cs="Times New Roman"/>
          <w:b/>
          <w:bCs/>
          <w:color w:val="auto"/>
          <w:sz w:val="32"/>
          <w:szCs w:val="32"/>
          <w:highlight w:val="none"/>
          <w:lang w:eastAsia="zh-CN"/>
        </w:rPr>
        <w:t>机关事业单位基本养老保险缴费支出</w:t>
      </w:r>
      <w:r>
        <w:rPr>
          <w:rFonts w:hint="eastAsia" w:ascii="Times New Roman" w:hAnsi="Times New Roman" w:eastAsia="方正仿宋简体" w:cs="Times New Roman"/>
          <w:b/>
          <w:bCs/>
          <w:color w:val="auto"/>
          <w:sz w:val="32"/>
          <w:szCs w:val="32"/>
          <w:highlight w:val="none"/>
        </w:rPr>
        <w:t>（项）</w:t>
      </w:r>
      <w:r>
        <w:rPr>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color w:val="000000"/>
          <w:sz w:val="32"/>
          <w:szCs w:val="32"/>
        </w:rPr>
        <w:t>指反应单位养老保险费支出。</w:t>
      </w:r>
    </w:p>
    <w:p>
      <w:pPr>
        <w:pageBreakBefore w:val="0"/>
        <w:numPr>
          <w:ilvl w:val="0"/>
          <w:numId w:val="4"/>
        </w:numPr>
        <w:kinsoku/>
        <w:wordWrap/>
        <w:overflowPunct/>
        <w:topLinePunct w:val="0"/>
        <w:bidi w:val="0"/>
        <w:spacing w:line="578" w:lineRule="exact"/>
        <w:ind w:left="0" w:leftChars="0" w:firstLine="643" w:firstLineChars="200"/>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卫生健康（类）行政事业单位医疗（款）行政单位医</w:t>
      </w:r>
    </w:p>
    <w:p>
      <w:pPr>
        <w:pageBreakBefore w:val="0"/>
        <w:numPr>
          <w:ilvl w:val="0"/>
          <w:numId w:val="0"/>
        </w:numPr>
        <w:kinsoku/>
        <w:wordWrap/>
        <w:overflowPunct/>
        <w:topLinePunct w:val="0"/>
        <w:bidi w:val="0"/>
        <w:spacing w:line="578" w:lineRule="exact"/>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bCs/>
          <w:color w:val="000000"/>
          <w:sz w:val="32"/>
          <w:szCs w:val="32"/>
        </w:rPr>
        <w:t>疗（项）</w:t>
      </w:r>
      <w:r>
        <w:rPr>
          <w:rFonts w:hint="default" w:ascii="Times New Roman" w:hAnsi="Times New Roman" w:eastAsia="方正仿宋简体" w:cs="Times New Roman"/>
          <w:b/>
          <w:color w:val="000000"/>
          <w:sz w:val="32"/>
          <w:szCs w:val="32"/>
        </w:rPr>
        <w:t>：指反应单位职工医疗保险缴费。</w:t>
      </w:r>
    </w:p>
    <w:p>
      <w:pPr>
        <w:pageBreakBefore w:val="0"/>
        <w:numPr>
          <w:ilvl w:val="0"/>
          <w:numId w:val="4"/>
        </w:numPr>
        <w:kinsoku/>
        <w:wordWrap/>
        <w:overflowPunct/>
        <w:topLinePunct w:val="0"/>
        <w:bidi w:val="0"/>
        <w:spacing w:line="578" w:lineRule="exact"/>
        <w:ind w:left="0" w:leftChars="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bCs/>
          <w:color w:val="000000"/>
          <w:sz w:val="32"/>
          <w:szCs w:val="32"/>
        </w:rPr>
        <w:t>住房保障（类）住房改革支出（款）住房公积金（项）</w:t>
      </w:r>
      <w:r>
        <w:rPr>
          <w:rFonts w:hint="default" w:ascii="Times New Roman" w:hAnsi="Times New Roman" w:eastAsia="方正仿宋简体" w:cs="Times New Roman"/>
          <w:b/>
          <w:color w:val="000000"/>
          <w:sz w:val="32"/>
          <w:szCs w:val="32"/>
        </w:rPr>
        <w:t>：</w:t>
      </w:r>
    </w:p>
    <w:p>
      <w:pPr>
        <w:pageBreakBefore w:val="0"/>
        <w:numPr>
          <w:ilvl w:val="0"/>
          <w:numId w:val="0"/>
        </w:numPr>
        <w:kinsoku/>
        <w:wordWrap/>
        <w:overflowPunct/>
        <w:topLinePunct w:val="0"/>
        <w:bidi w:val="0"/>
        <w:spacing w:line="578" w:lineRule="exact"/>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指反应职工住房公积金缴费。</w:t>
      </w:r>
    </w:p>
    <w:p>
      <w:pPr>
        <w:pageBreakBefore w:val="0"/>
        <w:numPr>
          <w:ilvl w:val="0"/>
          <w:numId w:val="4"/>
        </w:numPr>
        <w:kinsoku/>
        <w:wordWrap/>
        <w:overflowPunct/>
        <w:topLinePunct w:val="0"/>
        <w:bidi w:val="0"/>
        <w:spacing w:line="578" w:lineRule="exact"/>
        <w:ind w:left="0" w:leftChars="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基本支出：指为保障机构正常运转、完成日常工作任务而发生的人员支出和公用支出。</w:t>
      </w:r>
    </w:p>
    <w:p>
      <w:pPr>
        <w:pageBreakBefore w:val="0"/>
        <w:numPr>
          <w:ilvl w:val="0"/>
          <w:numId w:val="4"/>
        </w:numPr>
        <w:kinsoku/>
        <w:wordWrap/>
        <w:overflowPunct/>
        <w:topLinePunct w:val="0"/>
        <w:bidi w:val="0"/>
        <w:spacing w:line="578" w:lineRule="exact"/>
        <w:ind w:left="0" w:leftChars="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 xml:space="preserve">项目支出：指在基本支出之外为完成特定行政任务和事业发展目标所发生的支出。 </w:t>
      </w:r>
    </w:p>
    <w:p>
      <w:pPr>
        <w:pStyle w:val="26"/>
        <w:pageBreakBefore w:val="0"/>
        <w:numPr>
          <w:ilvl w:val="0"/>
          <w:numId w:val="4"/>
        </w:numPr>
        <w:kinsoku/>
        <w:wordWrap/>
        <w:overflowPunct/>
        <w:topLinePunct w:val="0"/>
        <w:bidi w:val="0"/>
        <w:spacing w:line="578" w:lineRule="exact"/>
        <w:ind w:left="0" w:leftChars="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pageBreakBefore w:val="0"/>
        <w:numPr>
          <w:ilvl w:val="0"/>
          <w:numId w:val="4"/>
        </w:numPr>
        <w:kinsoku/>
        <w:wordWrap/>
        <w:overflowPunct/>
        <w:topLinePunct w:val="0"/>
        <w:bidi w:val="0"/>
        <w:spacing w:line="578" w:lineRule="exact"/>
        <w:ind w:left="0" w:leftChars="0" w:firstLine="643"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机关运行经费：为保障行政单位（含参照公务员法管理的事业单位）运行用于购买货物和服务的各项资金，包括办公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78" w:lineRule="exact"/>
        <w:jc w:val="center"/>
        <w:textAlignment w:val="auto"/>
        <w:outlineLvl w:val="0"/>
        <w:rPr>
          <w:rStyle w:val="28"/>
          <w:rFonts w:hint="eastAsia" w:ascii="黑体" w:hAnsi="黑体" w:eastAsia="黑体"/>
          <w:b w:val="0"/>
          <w:color w:val="auto"/>
          <w:highlight w:val="none"/>
          <w:lang w:eastAsia="zh-CN"/>
        </w:rPr>
      </w:pPr>
      <w:bookmarkStart w:id="53" w:name="_Toc15377226"/>
      <w:r>
        <w:rPr>
          <w:rFonts w:ascii="宋体"/>
          <w:b/>
          <w:color w:val="auto"/>
          <w:sz w:val="44"/>
          <w:szCs w:val="44"/>
          <w:highlight w:val="none"/>
        </w:rPr>
        <w:br w:type="page"/>
      </w:r>
      <w:bookmarkStart w:id="54" w:name="_Toc15396614"/>
      <w:r>
        <w:rPr>
          <w:rFonts w:hint="eastAsia" w:ascii="方正小标宋简体" w:hAnsi="方正小标宋简体" w:eastAsia="方正小标宋简体" w:cs="方正小标宋简体"/>
          <w:b/>
          <w:bCs/>
          <w:color w:val="auto"/>
          <w:sz w:val="44"/>
          <w:szCs w:val="44"/>
          <w:highlight w:val="none"/>
        </w:rPr>
        <w:t>第</w:t>
      </w:r>
      <w:r>
        <w:rPr>
          <w:rStyle w:val="28"/>
          <w:rFonts w:hint="eastAsia" w:ascii="方正小标宋简体" w:hAnsi="方正小标宋简体" w:eastAsia="方正小标宋简体" w:cs="方正小标宋简体"/>
          <w:b/>
          <w:bCs/>
          <w:color w:val="auto"/>
          <w:highlight w:val="none"/>
        </w:rPr>
        <w:t>四部分 附件</w:t>
      </w:r>
      <w:bookmarkEnd w:id="54"/>
    </w:p>
    <w:p>
      <w:pPr>
        <w:keepNext w:val="0"/>
        <w:keepLines w:val="0"/>
        <w:pageBreakBefore w:val="0"/>
        <w:kinsoku/>
        <w:wordWrap/>
        <w:overflowPunct/>
        <w:topLinePunct w:val="0"/>
        <w:autoSpaceDE/>
        <w:autoSpaceDN/>
        <w:bidi w:val="0"/>
        <w:spacing w:line="578" w:lineRule="exact"/>
        <w:jc w:val="left"/>
        <w:textAlignment w:val="auto"/>
        <w:outlineLvl w:val="0"/>
        <w:rPr>
          <w:rFonts w:hint="eastAsia" w:ascii="方正黑体简体" w:hAnsi="方正黑体简体" w:eastAsia="方正黑体简体" w:cs="方正黑体简体"/>
          <w:b/>
          <w:bCs/>
          <w:color w:val="auto"/>
          <w:sz w:val="32"/>
          <w:szCs w:val="32"/>
          <w:highlight w:val="none"/>
        </w:rPr>
      </w:pPr>
      <w:r>
        <w:rPr>
          <w:rFonts w:hint="eastAsia" w:ascii="方正黑体简体" w:hAnsi="方正黑体简体" w:eastAsia="方正黑体简体" w:cs="方正黑体简体"/>
          <w:b/>
          <w:bCs/>
          <w:color w:val="auto"/>
          <w:sz w:val="32"/>
          <w:szCs w:val="32"/>
          <w:highlight w:val="none"/>
        </w:rPr>
        <w:t>附件</w:t>
      </w:r>
    </w:p>
    <w:p>
      <w:pPr>
        <w:keepNext w:val="0"/>
        <w:keepLines w:val="0"/>
        <w:pageBreakBefore w:val="0"/>
        <w:kinsoku/>
        <w:wordWrap/>
        <w:overflowPunct/>
        <w:topLinePunct w:val="0"/>
        <w:autoSpaceDE/>
        <w:autoSpaceDN/>
        <w:bidi w:val="0"/>
        <w:spacing w:line="578" w:lineRule="exact"/>
        <w:jc w:val="left"/>
        <w:textAlignment w:val="auto"/>
        <w:outlineLvl w:val="0"/>
        <w:rPr>
          <w:rFonts w:hint="eastAsia" w:ascii="方正黑体简体" w:hAnsi="方正黑体简体" w:eastAsia="方正黑体简体" w:cs="方正黑体简体"/>
          <w:b/>
          <w:bCs/>
          <w:color w:val="auto"/>
          <w:sz w:val="32"/>
          <w:szCs w:val="32"/>
          <w:highlight w:val="none"/>
        </w:rPr>
      </w:pPr>
    </w:p>
    <w:p>
      <w:pPr>
        <w:pageBreakBefore w:val="0"/>
        <w:kinsoku/>
        <w:wordWrap/>
        <w:overflowPunct/>
        <w:topLinePunct w:val="0"/>
        <w:bidi w:val="0"/>
        <w:spacing w:line="578" w:lineRule="exact"/>
        <w:jc w:val="center"/>
        <w:textAlignment w:val="auto"/>
        <w:outlineLvl w:val="0"/>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rPr>
        <w:t>20</w:t>
      </w:r>
      <w:r>
        <w:rPr>
          <w:rFonts w:hint="eastAsia" w:ascii="方正小标宋简体" w:hAnsi="方正小标宋简体" w:eastAsia="方正小标宋简体" w:cs="方正小标宋简体"/>
          <w:b/>
          <w:bCs/>
          <w:color w:val="auto"/>
          <w:sz w:val="44"/>
          <w:szCs w:val="44"/>
          <w:highlight w:val="none"/>
          <w:lang w:val="en-US" w:eastAsia="zh-CN"/>
        </w:rPr>
        <w:t>23</w:t>
      </w:r>
      <w:r>
        <w:rPr>
          <w:rFonts w:hint="eastAsia" w:ascii="方正小标宋简体" w:hAnsi="方正小标宋简体" w:eastAsia="方正小标宋简体" w:cs="方正小标宋简体"/>
          <w:b/>
          <w:bCs/>
          <w:color w:val="auto"/>
          <w:sz w:val="44"/>
          <w:szCs w:val="44"/>
          <w:highlight w:val="none"/>
        </w:rPr>
        <w:t>年</w:t>
      </w:r>
      <w:r>
        <w:rPr>
          <w:rFonts w:hint="eastAsia" w:ascii="方正小标宋简体" w:hAnsi="方正小标宋简体" w:eastAsia="方正小标宋简体" w:cs="方正小标宋简体"/>
          <w:b/>
          <w:bCs/>
          <w:color w:val="auto"/>
          <w:sz w:val="44"/>
          <w:szCs w:val="44"/>
          <w:highlight w:val="none"/>
          <w:lang w:val="en-US" w:eastAsia="zh-CN"/>
        </w:rPr>
        <w:t>泸县档案馆</w:t>
      </w:r>
      <w:r>
        <w:rPr>
          <w:rFonts w:hint="eastAsia" w:ascii="方正小标宋简体" w:hAnsi="方正小标宋简体" w:eastAsia="方正小标宋简体" w:cs="方正小标宋简体"/>
          <w:b/>
          <w:bCs/>
          <w:color w:val="auto"/>
          <w:sz w:val="44"/>
          <w:szCs w:val="44"/>
          <w:highlight w:val="none"/>
        </w:rPr>
        <w:t>部门整体绩效评价报告</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numPr>
          <w:ilvl w:val="0"/>
          <w:numId w:val="5"/>
        </w:numPr>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黑体简体" w:hAnsi="方正黑体简体" w:eastAsia="方正黑体简体" w:cs="方正黑体简体"/>
          <w:b/>
          <w:bCs/>
          <w:color w:val="auto"/>
          <w:kern w:val="0"/>
          <w:sz w:val="32"/>
          <w:szCs w:val="32"/>
          <w:highlight w:val="none"/>
          <w:shd w:val="clear" w:color="auto" w:fill="FFFFFF"/>
          <w:lang w:val="zh-CN"/>
        </w:rPr>
      </w:pPr>
      <w:r>
        <w:rPr>
          <w:rFonts w:hint="eastAsia" w:ascii="方正黑体简体" w:hAnsi="方正黑体简体" w:eastAsia="方正黑体简体" w:cs="方正黑体简体"/>
          <w:b/>
          <w:bCs/>
          <w:color w:val="auto"/>
          <w:kern w:val="0"/>
          <w:sz w:val="32"/>
          <w:szCs w:val="32"/>
          <w:highlight w:val="none"/>
          <w:shd w:val="clear" w:color="auto" w:fill="FFFFFF"/>
          <w:lang w:val="zh-CN"/>
        </w:rPr>
        <w:t>部门（单位）基本情况</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highlight w:val="none"/>
          <w:shd w:val="clear" w:color="auto" w:fill="FFFFFF"/>
          <w:lang w:val="zh-CN"/>
        </w:rPr>
      </w:pPr>
      <w:r>
        <w:rPr>
          <w:rFonts w:hint="eastAsia" w:ascii="方正楷体简体" w:hAnsi="方正楷体简体" w:eastAsia="方正楷体简体" w:cs="方正楷体简体"/>
          <w:b/>
          <w:bCs/>
          <w:color w:val="auto"/>
          <w:kern w:val="0"/>
          <w:sz w:val="32"/>
          <w:szCs w:val="32"/>
          <w:highlight w:val="none"/>
          <w:shd w:val="clear" w:color="auto" w:fill="FFFFFF"/>
          <w:lang w:val="zh-CN"/>
        </w:rPr>
        <w:t>（一）机构组成</w:t>
      </w:r>
    </w:p>
    <w:p>
      <w:pPr>
        <w:pStyle w:val="5"/>
        <w:pageBreakBefore w:val="0"/>
        <w:kinsoku/>
        <w:wordWrap/>
        <w:overflowPunct/>
        <w:topLinePunct w:val="0"/>
        <w:bidi w:val="0"/>
        <w:spacing w:beforeLines="0" w:line="578" w:lineRule="exact"/>
        <w:ind w:firstLine="643" w:firstLineChars="200"/>
        <w:textAlignment w:val="auto"/>
        <w:rPr>
          <w:rFonts w:hint="eastAsia"/>
          <w:lang w:val="zh-CN"/>
        </w:rPr>
      </w:pPr>
      <w:r>
        <w:rPr>
          <w:rFonts w:eastAsia="方正仿宋简体"/>
          <w:b/>
          <w:sz w:val="32"/>
          <w:szCs w:val="32"/>
        </w:rPr>
        <w:t>泸县档案馆为县委直属的参公管理事业单位，是一级预算单位。档案馆内设办公室、接收征集股、保管利用股</w:t>
      </w:r>
      <w:r>
        <w:rPr>
          <w:rFonts w:hint="eastAsia" w:eastAsia="方正仿宋简体"/>
          <w:b/>
          <w:sz w:val="32"/>
          <w:szCs w:val="32"/>
          <w:lang w:val="en-US" w:eastAsia="zh-CN"/>
        </w:rPr>
        <w:t>、</w:t>
      </w:r>
      <w:r>
        <w:rPr>
          <w:rFonts w:eastAsia="方正仿宋简体"/>
          <w:b/>
          <w:sz w:val="32"/>
          <w:szCs w:val="32"/>
        </w:rPr>
        <w:t>宣传编研股和信息技术股。</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highlight w:val="none"/>
          <w:shd w:val="clear" w:color="auto" w:fill="FFFFFF"/>
          <w:lang w:val="zh-CN"/>
        </w:rPr>
      </w:pPr>
      <w:r>
        <w:rPr>
          <w:rFonts w:hint="eastAsia" w:ascii="方正楷体简体" w:hAnsi="方正楷体简体" w:eastAsia="方正楷体简体" w:cs="方正楷体简体"/>
          <w:b/>
          <w:bCs/>
          <w:color w:val="auto"/>
          <w:kern w:val="0"/>
          <w:sz w:val="32"/>
          <w:szCs w:val="32"/>
          <w:highlight w:val="none"/>
          <w:shd w:val="clear" w:color="auto" w:fill="FFFFFF"/>
          <w:lang w:val="zh-CN"/>
        </w:rPr>
        <w:t>（二）机构职能和人员概况</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line="578" w:lineRule="exact"/>
        <w:ind w:firstLine="643" w:firstLineChars="200"/>
        <w:textAlignment w:val="auto"/>
        <w:rPr>
          <w:rFonts w:hint="default" w:ascii="Times New Roman" w:hAnsi="Times New Roman" w:eastAsia="方正仿宋简体" w:cs="Times New Roman"/>
          <w:b/>
          <w:sz w:val="32"/>
          <w:szCs w:val="32"/>
          <w:lang w:eastAsia="zh-CN"/>
        </w:rPr>
      </w:pPr>
      <w:r>
        <w:rPr>
          <w:rFonts w:hint="eastAsia" w:ascii="Times New Roman" w:eastAsia="方正仿宋简体" w:cs="Times New Roman"/>
          <w:b/>
          <w:bCs/>
          <w:color w:val="auto"/>
          <w:kern w:val="0"/>
          <w:sz w:val="32"/>
          <w:szCs w:val="32"/>
          <w:highlight w:val="none"/>
          <w:shd w:val="clear" w:color="auto" w:fill="FFFFFF"/>
          <w:lang w:val="en-US" w:eastAsia="zh-CN"/>
        </w:rPr>
        <w:t xml:space="preserve">1. </w:t>
      </w:r>
      <w:r>
        <w:rPr>
          <w:rFonts w:hint="default" w:ascii="Times New Roman" w:hAnsi="Times New Roman" w:eastAsia="方正仿宋简体" w:cs="Times New Roman"/>
          <w:b/>
          <w:bCs/>
          <w:color w:val="auto"/>
          <w:kern w:val="0"/>
          <w:sz w:val="32"/>
          <w:szCs w:val="32"/>
          <w:highlight w:val="none"/>
          <w:shd w:val="clear" w:color="auto" w:fill="FFFFFF"/>
          <w:lang w:val="en-US" w:eastAsia="zh-CN"/>
        </w:rPr>
        <w:t>机构职能</w:t>
      </w:r>
      <w:r>
        <w:rPr>
          <w:rFonts w:hint="eastAsia" w:ascii="Times New Roman" w:hAnsi="Times New Roman" w:eastAsia="方正仿宋简体" w:cs="Times New Roman"/>
          <w:b/>
          <w:bCs/>
          <w:color w:val="auto"/>
          <w:kern w:val="0"/>
          <w:sz w:val="32"/>
          <w:szCs w:val="32"/>
          <w:highlight w:val="none"/>
          <w:shd w:val="clear" w:color="auto" w:fill="FFFFFF"/>
          <w:lang w:val="en-US" w:eastAsia="zh-CN"/>
        </w:rPr>
        <w:t>。</w:t>
      </w:r>
      <w:r>
        <w:rPr>
          <w:rFonts w:hint="eastAsia" w:ascii="Times New Roman" w:eastAsia="方正仿宋简体" w:cs="Times New Roman"/>
          <w:b/>
          <w:bCs/>
          <w:color w:val="auto"/>
          <w:kern w:val="0"/>
          <w:sz w:val="32"/>
          <w:szCs w:val="32"/>
          <w:highlight w:val="none"/>
          <w:shd w:val="clear" w:color="auto" w:fill="FFFFFF"/>
          <w:lang w:val="en-US" w:eastAsia="zh-CN"/>
        </w:rPr>
        <w:t>(1)</w:t>
      </w:r>
      <w:r>
        <w:rPr>
          <w:rFonts w:hint="default" w:ascii="Times New Roman" w:hAnsi="Times New Roman" w:eastAsia="方正仿宋简体" w:cs="Times New Roman"/>
          <w:b/>
          <w:sz w:val="32"/>
          <w:szCs w:val="32"/>
        </w:rPr>
        <w:t>贯彻执行党和国家、省委、市委、县委有关档案管理的法律法规规章及有关规定，参与拟订全县档案事业发展中长期规划；制定县档案馆发展规划、年度计划和规章制度并组织实施。</w:t>
      </w:r>
      <w:r>
        <w:rPr>
          <w:rFonts w:hint="eastAsia" w:asci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rPr>
        <w:t>集中统一管理县级重要档案资料和泸县历史档案资料；依法依规收集、整理、保管、保护各镇、街道、县直机关、团体、事业单位、国有企业及其下属单位和县级重大会议、重大活动、重大突发事件及其他对国家和社会具有保存价值的各种门类和载体的档案，并提供利用；研究制定进馆档案的接收标准和规范并提供业务指导。</w:t>
      </w:r>
      <w:r>
        <w:rPr>
          <w:rFonts w:hint="eastAsia" w:ascii="Times New Roman" w:eastAsia="方正仿宋简体" w:cs="Times New Roman"/>
          <w:b/>
          <w:sz w:val="32"/>
          <w:szCs w:val="32"/>
          <w:lang w:val="en-US" w:eastAsia="zh-CN"/>
        </w:rPr>
        <w:t>(3)</w:t>
      </w:r>
      <w:r>
        <w:rPr>
          <w:rFonts w:hint="default" w:ascii="Times New Roman" w:hAnsi="Times New Roman" w:eastAsia="方正仿宋简体" w:cs="Times New Roman"/>
          <w:b/>
          <w:sz w:val="32"/>
          <w:szCs w:val="32"/>
        </w:rPr>
        <w:t>开展重要、珍贵档案资料征集工作；依法接受有重要保存利用价值档案的捐赠和寄存。</w:t>
      </w:r>
      <w:r>
        <w:rPr>
          <w:rFonts w:hint="eastAsia" w:ascii="Times New Roman" w:eastAsia="方正仿宋简体" w:cs="Times New Roman"/>
          <w:b/>
          <w:sz w:val="32"/>
          <w:szCs w:val="32"/>
          <w:lang w:val="en-US" w:eastAsia="zh-CN"/>
        </w:rPr>
        <w:t>(4)</w:t>
      </w:r>
      <w:r>
        <w:rPr>
          <w:rFonts w:hint="default" w:ascii="Times New Roman" w:hAnsi="Times New Roman" w:eastAsia="方正仿宋简体" w:cs="Times New Roman"/>
          <w:b/>
          <w:sz w:val="32"/>
          <w:szCs w:val="32"/>
        </w:rPr>
        <w:t>负责馆藏档案实体和信息安全、保密工作，对重要档案实行异质异地备份保管；依法开展对馆藏档案的鉴定、解密、划控和开放工作。</w:t>
      </w:r>
      <w:r>
        <w:rPr>
          <w:rFonts w:hint="eastAsia" w:ascii="Times New Roman" w:eastAsia="方正仿宋简体" w:cs="Times New Roman"/>
          <w:b/>
          <w:sz w:val="32"/>
          <w:szCs w:val="32"/>
          <w:lang w:val="en-US" w:eastAsia="zh-CN"/>
        </w:rPr>
        <w:t>(5)</w:t>
      </w:r>
      <w:r>
        <w:rPr>
          <w:rFonts w:hint="default" w:ascii="Times New Roman" w:hAnsi="Times New Roman" w:eastAsia="方正仿宋简体" w:cs="Times New Roman"/>
          <w:b/>
          <w:sz w:val="32"/>
          <w:szCs w:val="32"/>
        </w:rPr>
        <w:t>承担数字档案馆建设和电子文件备份工作；参与全县档案目录体系建设和管理工作。</w:t>
      </w:r>
      <w:r>
        <w:rPr>
          <w:rFonts w:hint="eastAsia" w:ascii="Times New Roman" w:eastAsia="方正仿宋简体" w:cs="Times New Roman"/>
          <w:b/>
          <w:sz w:val="32"/>
          <w:szCs w:val="32"/>
          <w:lang w:val="en-US" w:eastAsia="zh-CN"/>
        </w:rPr>
        <w:t>(6)</w:t>
      </w:r>
      <w:r>
        <w:rPr>
          <w:rFonts w:hint="default" w:ascii="Times New Roman" w:hAnsi="Times New Roman" w:eastAsia="方正仿宋简体" w:cs="Times New Roman"/>
          <w:b/>
          <w:sz w:val="32"/>
          <w:szCs w:val="32"/>
        </w:rPr>
        <w:t>负责馆藏档案资源、档案文化产品的开发，研究编纂档案史料，开展档案资政服务工作。</w:t>
      </w:r>
      <w:r>
        <w:rPr>
          <w:rFonts w:hint="eastAsia" w:ascii="Times New Roman" w:eastAsia="方正仿宋简体" w:cs="Times New Roman"/>
          <w:b/>
          <w:sz w:val="32"/>
          <w:szCs w:val="32"/>
          <w:lang w:val="en-US" w:eastAsia="zh-CN"/>
        </w:rPr>
        <w:t>(7)</w:t>
      </w:r>
      <w:r>
        <w:rPr>
          <w:rFonts w:hint="default" w:ascii="Times New Roman" w:hAnsi="Times New Roman" w:eastAsia="方正仿宋简体" w:cs="Times New Roman"/>
          <w:b/>
          <w:sz w:val="32"/>
          <w:szCs w:val="32"/>
        </w:rPr>
        <w:t>开展档案学术、科研、馆际合作、业务交流；对各机关档案馆（室）业务进行指导。</w:t>
      </w:r>
      <w:r>
        <w:rPr>
          <w:rFonts w:hint="eastAsia" w:ascii="Times New Roman" w:eastAsia="方正仿宋简体" w:cs="Times New Roman"/>
          <w:b/>
          <w:sz w:val="32"/>
          <w:szCs w:val="32"/>
          <w:lang w:val="en-US" w:eastAsia="zh-CN"/>
        </w:rPr>
        <w:t>(8)</w:t>
      </w:r>
      <w:r>
        <w:rPr>
          <w:rFonts w:hint="default" w:ascii="Times New Roman" w:hAnsi="Times New Roman" w:eastAsia="方正仿宋简体" w:cs="Times New Roman"/>
          <w:b/>
          <w:sz w:val="32"/>
          <w:szCs w:val="32"/>
        </w:rPr>
        <w:t>开展档案利用工作，依法向社会提供档案资料和已公开现行文件利用工作，开展民生档案等异地查档跨馆服务。</w:t>
      </w:r>
      <w:r>
        <w:rPr>
          <w:rFonts w:hint="eastAsia" w:ascii="Times New Roman" w:eastAsia="方正仿宋简体" w:cs="Times New Roman"/>
          <w:b/>
          <w:sz w:val="32"/>
          <w:szCs w:val="32"/>
          <w:lang w:val="en-US" w:eastAsia="zh-CN"/>
        </w:rPr>
        <w:t>(9)</w:t>
      </w:r>
      <w:r>
        <w:rPr>
          <w:rFonts w:hint="default" w:ascii="Times New Roman" w:hAnsi="Times New Roman" w:eastAsia="方正仿宋简体" w:cs="Times New Roman"/>
          <w:b/>
          <w:sz w:val="32"/>
          <w:szCs w:val="32"/>
        </w:rPr>
        <w:t>举办档案展览，建设管理爱国主义教育基地，开展档案社会宣传、教育工作。</w:t>
      </w:r>
      <w:r>
        <w:rPr>
          <w:rFonts w:hint="eastAsia" w:ascii="Times New Roman" w:eastAsia="方正仿宋简体" w:cs="Times New Roman"/>
          <w:b/>
          <w:sz w:val="32"/>
          <w:szCs w:val="32"/>
          <w:lang w:val="en-US" w:eastAsia="zh-CN"/>
        </w:rPr>
        <w:t>(10)</w:t>
      </w:r>
      <w:r>
        <w:rPr>
          <w:rFonts w:hint="default" w:ascii="Times New Roman" w:hAnsi="Times New Roman" w:eastAsia="方正仿宋简体" w:cs="Times New Roman"/>
          <w:b/>
          <w:sz w:val="32"/>
          <w:szCs w:val="32"/>
          <w:lang w:eastAsia="zh-CN"/>
        </w:rPr>
        <w:t>完成县委交办的其他任务。</w:t>
      </w:r>
    </w:p>
    <w:p>
      <w:pPr>
        <w:pageBreakBefore w:val="0"/>
        <w:kinsoku/>
        <w:wordWrap/>
        <w:overflowPunct/>
        <w:topLinePunct w:val="0"/>
        <w:bidi w:val="0"/>
        <w:spacing w:line="578" w:lineRule="exact"/>
        <w:ind w:firstLine="643" w:firstLineChars="200"/>
        <w:textAlignment w:val="auto"/>
        <w:rPr>
          <w:rFonts w:hint="default"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2.</w:t>
      </w:r>
      <w:r>
        <w:rPr>
          <w:rFonts w:hint="eastAsia" w:eastAsia="方正仿宋简体" w:cs="Times New Roman"/>
          <w:b/>
          <w:sz w:val="32"/>
          <w:szCs w:val="32"/>
          <w:lang w:val="en-US" w:eastAsia="zh-CN"/>
        </w:rPr>
        <w:t xml:space="preserve"> </w:t>
      </w:r>
      <w:r>
        <w:rPr>
          <w:rFonts w:hint="eastAsia" w:ascii="Times New Roman" w:hAnsi="Times New Roman" w:eastAsia="方正仿宋简体" w:cs="Times New Roman"/>
          <w:b/>
          <w:sz w:val="32"/>
          <w:szCs w:val="32"/>
          <w:lang w:val="en-US" w:eastAsia="zh-CN"/>
        </w:rPr>
        <w:t>人员</w:t>
      </w:r>
      <w:r>
        <w:rPr>
          <w:rFonts w:hint="eastAsia" w:ascii="Times New Roman" w:eastAsia="方正仿宋简体" w:cs="Times New Roman"/>
          <w:b/>
          <w:sz w:val="32"/>
          <w:szCs w:val="32"/>
          <w:lang w:val="en-US" w:eastAsia="zh-CN"/>
        </w:rPr>
        <w:t>概</w:t>
      </w:r>
      <w:r>
        <w:rPr>
          <w:rFonts w:hint="eastAsia" w:ascii="Times New Roman" w:hAnsi="Times New Roman" w:eastAsia="方正仿宋简体" w:cs="Times New Roman"/>
          <w:b/>
          <w:sz w:val="32"/>
          <w:szCs w:val="32"/>
          <w:lang w:val="en-US" w:eastAsia="zh-CN"/>
        </w:rPr>
        <w:t>况。</w:t>
      </w:r>
      <w:r>
        <w:rPr>
          <w:rFonts w:eastAsia="方正仿宋简体"/>
          <w:b/>
          <w:sz w:val="32"/>
          <w:szCs w:val="32"/>
        </w:rPr>
        <w:t>泸县档案馆核定总编制1</w:t>
      </w:r>
      <w:r>
        <w:rPr>
          <w:rFonts w:hint="eastAsia" w:eastAsia="方正仿宋简体"/>
          <w:b/>
          <w:sz w:val="32"/>
          <w:szCs w:val="32"/>
          <w:lang w:val="en-US" w:eastAsia="zh-CN"/>
        </w:rPr>
        <w:t>6</w:t>
      </w:r>
      <w:r>
        <w:rPr>
          <w:rFonts w:eastAsia="方正仿宋简体"/>
          <w:b/>
          <w:sz w:val="32"/>
          <w:szCs w:val="32"/>
        </w:rPr>
        <w:t>名，其中：参公编制1</w:t>
      </w:r>
      <w:r>
        <w:rPr>
          <w:rFonts w:hint="eastAsia" w:eastAsia="方正仿宋简体"/>
          <w:b/>
          <w:sz w:val="32"/>
          <w:szCs w:val="32"/>
          <w:lang w:val="en-US" w:eastAsia="zh-CN"/>
        </w:rPr>
        <w:t>6</w:t>
      </w:r>
      <w:r>
        <w:rPr>
          <w:rFonts w:eastAsia="方正仿宋简体"/>
          <w:b/>
          <w:sz w:val="32"/>
          <w:szCs w:val="32"/>
        </w:rPr>
        <w:t>名。</w:t>
      </w:r>
      <w:r>
        <w:rPr>
          <w:rFonts w:hint="eastAsia" w:eastAsia="方正仿宋简体"/>
          <w:b/>
          <w:sz w:val="32"/>
          <w:szCs w:val="32"/>
          <w:lang w:val="en-US" w:eastAsia="zh-CN"/>
        </w:rPr>
        <w:t>2022年</w:t>
      </w:r>
      <w:r>
        <w:rPr>
          <w:rFonts w:eastAsia="方正仿宋简体"/>
          <w:b/>
          <w:sz w:val="32"/>
          <w:szCs w:val="32"/>
        </w:rPr>
        <w:t>在职人数1</w:t>
      </w:r>
      <w:r>
        <w:rPr>
          <w:rFonts w:hint="eastAsia" w:eastAsia="方正仿宋简体"/>
          <w:b/>
          <w:sz w:val="32"/>
          <w:szCs w:val="32"/>
          <w:lang w:val="en-US" w:eastAsia="zh-CN"/>
        </w:rPr>
        <w:t>4</w:t>
      </w:r>
      <w:r>
        <w:rPr>
          <w:rFonts w:eastAsia="方正仿宋简体"/>
          <w:b/>
          <w:sz w:val="32"/>
          <w:szCs w:val="32"/>
        </w:rPr>
        <w:t>人。</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（三）年度主要工作任务</w:t>
      </w:r>
    </w:p>
    <w:p>
      <w:pPr>
        <w:pStyle w:val="5"/>
        <w:pageBreakBefore w:val="0"/>
        <w:kinsoku/>
        <w:wordWrap/>
        <w:overflowPunct/>
        <w:topLinePunct w:val="0"/>
        <w:bidi w:val="0"/>
        <w:spacing w:beforeLines="0" w:line="54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rPr>
        <w:t xml:space="preserve">1. </w:t>
      </w:r>
      <w:r>
        <w:rPr>
          <w:rFonts w:hint="default" w:ascii="Times New Roman" w:hAnsi="Times New Roman" w:eastAsia="方正仿宋简体" w:cs="Times New Roman"/>
          <w:b/>
          <w:bCs/>
          <w:sz w:val="32"/>
          <w:szCs w:val="32"/>
        </w:rPr>
        <w:t>坚持用习近平新时代中国特色社会主义思想武装头脑。县委第十四届二次常委会传达学习习近平总书记关于档案工作的重要批示精神并研究我县贯彻落实意见，档案主管部门印发《关于认真学习贯彻习近平总书记重要批示精神的通知》《关于深入学习贯彻习近平总书记对档案工作重要批示的工作方案》</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组织泸县档案系统18人参加泸州市档案系统专题研讨班，并利用印发《泸县档案事业发展“十四五”规划》、召开全县档案工作会议、中心组理论学习、职工会等契机，全县各级各部门深入学习贯彻习近平总书记关于档案工作的重要批示精神，用好《习近平关于档案工作、历史学习与研究、文化遗产保护重要论述摘编》等学习材料。</w:t>
      </w:r>
    </w:p>
    <w:p>
      <w:pPr>
        <w:pStyle w:val="5"/>
        <w:pageBreakBefore w:val="0"/>
        <w:kinsoku/>
        <w:wordWrap/>
        <w:overflowPunct/>
        <w:topLinePunct w:val="0"/>
        <w:bidi w:val="0"/>
        <w:spacing w:beforeLines="0" w:line="54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rPr>
        <w:t>2. 以迎接党的二十大为主题主线开展学习宣传教育实践活动。</w:t>
      </w:r>
      <w:r>
        <w:rPr>
          <w:rFonts w:hint="default" w:ascii="Times New Roman" w:hAnsi="Times New Roman" w:eastAsia="方正仿宋简体" w:cs="Times New Roman"/>
          <w:b/>
          <w:bCs/>
          <w:sz w:val="32"/>
          <w:szCs w:val="32"/>
        </w:rPr>
        <w:t>组织开展“喜迎二十大·档案颂辉煌”主题宣传活动，举办展板展览1次，200人参观，拍摄《赓续相传兰台精神 恢复重建再谱新篇》档案微视频，联合县委宣传部、县文联、县政协诗书画院编印《铭记</w:t>
      </w:r>
      <w:r>
        <w:rPr>
          <w:rFonts w:hint="default" w:ascii="Times New Roman" w:hAnsi="Times New Roman" w:eastAsia="方正仿宋简体" w:cs="Times New Roman"/>
          <w:b/>
          <w:bCs/>
          <w:sz w:val="32"/>
          <w:szCs w:val="32"/>
          <w:lang w:val="en-US"/>
        </w:rPr>
        <w:t>--</w:t>
      </w:r>
      <w:r>
        <w:rPr>
          <w:rFonts w:hint="default" w:ascii="Times New Roman" w:hAnsi="Times New Roman" w:eastAsia="方正仿宋简体" w:cs="Times New Roman"/>
          <w:b/>
          <w:bCs/>
          <w:sz w:val="32"/>
          <w:szCs w:val="32"/>
        </w:rPr>
        <w:t>“9·16”泸县地震》画册。</w:t>
      </w:r>
    </w:p>
    <w:p>
      <w:pPr>
        <w:pageBreakBefore w:val="0"/>
        <w:kinsoku/>
        <w:wordWrap/>
        <w:overflowPunct/>
        <w:topLinePunct w:val="0"/>
        <w:bidi w:val="0"/>
        <w:spacing w:line="54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rPr>
        <w:t>3</w:t>
      </w:r>
      <w:r>
        <w:rPr>
          <w:rFonts w:hint="default" w:ascii="Times New Roman" w:hAnsi="Times New Roman" w:eastAsia="方正仿宋简体" w:cs="Times New Roman"/>
          <w:b/>
          <w:bCs/>
          <w:sz w:val="32"/>
          <w:szCs w:val="32"/>
          <w:lang w:val="en-US"/>
        </w:rPr>
        <w:tab/>
      </w:r>
      <w:r>
        <w:rPr>
          <w:rFonts w:hint="default" w:ascii="Times New Roman" w:hAnsi="Times New Roman" w:eastAsia="方正仿宋简体" w:cs="Times New Roman"/>
          <w:b/>
          <w:bCs/>
          <w:sz w:val="32"/>
          <w:szCs w:val="32"/>
          <w:lang w:val="en-US"/>
        </w:rPr>
        <w:t>. 建好用好爱国主义教育基地。</w:t>
      </w:r>
      <w:r>
        <w:rPr>
          <w:rFonts w:hint="default" w:ascii="Times New Roman" w:hAnsi="Times New Roman" w:eastAsia="方正仿宋简体" w:cs="Times New Roman"/>
          <w:b/>
          <w:bCs/>
          <w:sz w:val="32"/>
          <w:szCs w:val="32"/>
        </w:rPr>
        <w:t>配合泸县综合档案馆建设，</w:t>
      </w:r>
      <w:r>
        <w:rPr>
          <w:rFonts w:hint="default" w:ascii="Times New Roman" w:hAnsi="Times New Roman" w:eastAsia="方正仿宋简体" w:cs="Times New Roman"/>
          <w:b/>
          <w:sz w:val="32"/>
          <w:szCs w:val="32"/>
        </w:rPr>
        <w:t>深化爱国主义教育展厅展陈大纲方案设计，</w:t>
      </w:r>
      <w:r>
        <w:rPr>
          <w:rFonts w:hint="default" w:ascii="Times New Roman" w:hAnsi="Times New Roman" w:eastAsia="方正仿宋简体" w:cs="Times New Roman"/>
          <w:b/>
          <w:bCs/>
          <w:sz w:val="32"/>
          <w:szCs w:val="32"/>
        </w:rPr>
        <w:t>广泛征集泸县党史资料、非物质文化遗产、地方特色的历史文化等实物档案，丰富爱国主义教育资源。强化档案馆宣传教育功能，利用“6·9”国际档案日契机面向小学生开展“心向党共成长”学生档案整理体验活动，培养学生档案意识，让其接受馆藏红色档案熏陶，厚植爱党爱国爱社会主义情感。</w:t>
      </w:r>
    </w:p>
    <w:p>
      <w:pPr>
        <w:pStyle w:val="5"/>
        <w:pageBreakBefore w:val="0"/>
        <w:kinsoku/>
        <w:wordWrap/>
        <w:overflowPunct/>
        <w:topLinePunct w:val="0"/>
        <w:bidi w:val="0"/>
        <w:spacing w:beforeLines="0" w:line="54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rPr>
        <w:t>4. 深入推进档案法制宣传教育。制定了《泸县档案“八五”法治宣传教育规划（2021—2025年）》，</w:t>
      </w:r>
      <w:r>
        <w:rPr>
          <w:rFonts w:hint="default" w:ascii="Times New Roman" w:hAnsi="Times New Roman" w:eastAsia="方正仿宋简体" w:cs="Times New Roman"/>
          <w:b/>
          <w:bCs/>
          <w:sz w:val="32"/>
          <w:szCs w:val="32"/>
        </w:rPr>
        <w:t>将《中华人民共和国档案法》《乡镇档案工作办法》等纳入《泸县档案局2022年档案培训计划》，在全县学校档案工作培训会、全县机关档案业务培训会、档案行政执法检查培训会和档案开放审核培训会中宣讲落实；以新修订档案法颁布两周年为契机，推出档案法专题展板，编印了《泸县档案“八五”普法系列资料之普法手册》。</w:t>
      </w:r>
    </w:p>
    <w:p>
      <w:pPr>
        <w:pStyle w:val="5"/>
        <w:pageBreakBefore w:val="0"/>
        <w:kinsoku/>
        <w:wordWrap/>
        <w:overflowPunct/>
        <w:topLinePunct w:val="0"/>
        <w:bidi w:val="0"/>
        <w:spacing w:beforeLines="0" w:line="540" w:lineRule="exact"/>
        <w:ind w:firstLine="643" w:firstLineChars="200"/>
        <w:rPr>
          <w:rFonts w:hint="default" w:ascii="Times New Roman" w:hAnsi="Times New Roman" w:eastAsia="方正仿宋简体" w:cs="Times New Roman"/>
          <w:b/>
          <w:bCs/>
          <w:sz w:val="32"/>
          <w:szCs w:val="32"/>
          <w:lang w:val="en-US"/>
        </w:rPr>
      </w:pPr>
      <w:r>
        <w:rPr>
          <w:rFonts w:hint="default" w:ascii="Times New Roman" w:hAnsi="Times New Roman" w:eastAsia="方正仿宋简体" w:cs="Times New Roman"/>
          <w:b/>
          <w:bCs/>
          <w:sz w:val="32"/>
          <w:szCs w:val="32"/>
          <w:lang w:val="en-US"/>
        </w:rPr>
        <w:t>5. 扎实开展档案行政执法检查和规范管理。</w:t>
      </w:r>
      <w:r>
        <w:rPr>
          <w:rFonts w:hint="default" w:ascii="Times New Roman" w:hAnsi="Times New Roman" w:eastAsia="方正仿宋简体" w:cs="Times New Roman"/>
          <w:b/>
          <w:bCs/>
          <w:sz w:val="32"/>
          <w:szCs w:val="32"/>
        </w:rPr>
        <w:t>深入实施档案行政执法检查三年行动，对县公安局等28个单位进行了档案行政执法检查，并对检查结果进行了通报。由县教体局牵头、县档案局、县档案馆配合，</w:t>
      </w:r>
      <w:r>
        <w:rPr>
          <w:rFonts w:hint="default" w:ascii="Times New Roman" w:hAnsi="Times New Roman" w:eastAsia="方正仿宋简体" w:cs="Times New Roman"/>
          <w:b/>
          <w:bCs/>
          <w:sz w:val="32"/>
          <w:szCs w:val="32"/>
          <w:lang w:val="en-US"/>
        </w:rPr>
        <w:t>分4批次举办了2022年中小学档案管理工作培训会，全县114个学校的档案分管领导、专兼职档案员228人参培，定期不定期到学校开展档案业务指导，并于10月底开展全县学校档案工作考核检查。全面推进档案分类方案、文件材料归档范围、档案保管期限表“三合一”制度，印发《全面推行机关档案分类方案、文件材料归档范围和档案保管期限表三合一制度的实施方案》，拟分2批于明年3月底前全面完成审查任务；建立《泸县档案服务外包工作实施细则》，明确了档案服务外包机构、外包单位、档案行政管理部门的具体职能职责，下发了《关于进一步规范泸县档案服务外包工作的通知》，进一步加强对档案服务外包的管理，并对在泸县3家档案外包服务机构开展了3次档案执行执法检查。</w:t>
      </w:r>
    </w:p>
    <w:p>
      <w:pPr>
        <w:pageBreakBefore w:val="0"/>
        <w:kinsoku/>
        <w:wordWrap/>
        <w:overflowPunct/>
        <w:topLinePunct w:val="0"/>
        <w:bidi w:val="0"/>
        <w:spacing w:line="540" w:lineRule="exact"/>
        <w:ind w:firstLine="643" w:firstLineChars="200"/>
        <w:jc w:val="both"/>
        <w:textAlignment w:val="baseline"/>
        <w:rPr>
          <w:rFonts w:hint="default" w:ascii="Times New Roman" w:hAnsi="Times New Roman" w:eastAsia="方正仿宋简体" w:cs="Times New Roman"/>
          <w:b/>
          <w:bCs/>
          <w:color w:val="FF0000"/>
          <w:sz w:val="32"/>
          <w:szCs w:val="32"/>
          <w:lang w:val="en-US"/>
        </w:rPr>
      </w:pPr>
      <w:r>
        <w:rPr>
          <w:rFonts w:hint="default" w:ascii="Times New Roman" w:hAnsi="Times New Roman" w:eastAsia="方正仿宋简体" w:cs="Times New Roman"/>
          <w:b/>
          <w:bCs/>
          <w:sz w:val="32"/>
          <w:szCs w:val="32"/>
          <w:lang w:val="en-US"/>
        </w:rPr>
        <w:t>6. 高质量推动档案资源建设。</w:t>
      </w:r>
      <w:r>
        <w:rPr>
          <w:rFonts w:hint="default" w:ascii="Times New Roman" w:hAnsi="Times New Roman" w:eastAsia="方正仿宋简体" w:cs="Times New Roman"/>
          <w:b/>
          <w:bCs/>
          <w:sz w:val="32"/>
          <w:szCs w:val="32"/>
        </w:rPr>
        <w:t>推动县档案馆馆藏档案电子目录著录，启动目录体系建设工作。面向社会发布了《关于征集各类档案的公告》，开展地方特色档案知名人士档案等各类有价值档案征集，加大实物、照片、录音、录像等不同门类载体档案收集力度，接收了</w:t>
      </w:r>
      <w:r>
        <w:rPr>
          <w:rFonts w:hint="default" w:ascii="Times New Roman" w:hAnsi="Times New Roman" w:eastAsia="方正仿宋简体" w:cs="Times New Roman"/>
          <w:b/>
          <w:bCs/>
          <w:sz w:val="32"/>
          <w:szCs w:val="32"/>
          <w:lang w:val="en-US"/>
        </w:rPr>
        <w:t>孔祥坤捐赠杨兆蓉个人档案—手书《何氏族谱》（复印件）、</w:t>
      </w:r>
      <w:r>
        <w:rPr>
          <w:rFonts w:hint="default" w:ascii="Times New Roman" w:hAnsi="Times New Roman" w:eastAsia="方正仿宋简体" w:cs="Times New Roman"/>
          <w:b/>
          <w:bCs/>
          <w:sz w:val="32"/>
          <w:szCs w:val="32"/>
        </w:rPr>
        <w:t>《辛亥革命元老杨兆蓉传》</w:t>
      </w:r>
      <w:r>
        <w:rPr>
          <w:rFonts w:hint="default" w:ascii="Times New Roman" w:hAnsi="Times New Roman" w:eastAsia="方正仿宋简体" w:cs="Times New Roman"/>
          <w:b/>
          <w:bCs/>
          <w:sz w:val="32"/>
          <w:szCs w:val="32"/>
          <w:lang w:val="en-US"/>
        </w:rPr>
        <w:t>《泸州氏族家牒规训》，以及有关其传奇</w:t>
      </w:r>
      <w:r>
        <w:rPr>
          <w:rFonts w:hint="default" w:ascii="Times New Roman" w:hAnsi="Times New Roman" w:eastAsia="方正仿宋简体" w:cs="Times New Roman"/>
          <w:b/>
          <w:bCs/>
          <w:sz w:val="32"/>
          <w:szCs w:val="32"/>
        </w:rPr>
        <w:t>的小说《巴蜀豪侠》，收集了工具书、文艺小说、刊物、年鉴、史志等各类书籍104册，实现档案资源多样化、特色化；继续开展档案“双套制”移交与接收工作，印发《关于做好2022年档案“双移交双接收”工作的通知》（泸县档馆发〔2022〕2号），今年已完成26个单位共计1729卷、66862件，76万余页档案的“双接收”。截至目前，县档案馆馆藏纸质档案总量13.4万卷、45.2万件、2.5万盒，照片档案1778张，光盘183张，徽章152枚，印模414枚，软盘18张，录音录像4盘。各类图书资料6845册。</w:t>
      </w:r>
    </w:p>
    <w:p>
      <w:pPr>
        <w:pStyle w:val="5"/>
        <w:pageBreakBefore w:val="0"/>
        <w:kinsoku/>
        <w:wordWrap/>
        <w:overflowPunct/>
        <w:topLinePunct w:val="0"/>
        <w:bidi w:val="0"/>
        <w:spacing w:beforeLines="0" w:line="540" w:lineRule="exact"/>
        <w:ind w:firstLine="643" w:firstLineChars="200"/>
        <w:rPr>
          <w:rFonts w:hint="default" w:ascii="Times New Roman" w:hAnsi="Times New Roman" w:eastAsia="方正仿宋简体" w:cs="Times New Roman"/>
          <w:b/>
          <w:bCs/>
          <w:sz w:val="32"/>
          <w:szCs w:val="32"/>
          <w:lang w:val="en-US"/>
        </w:rPr>
      </w:pPr>
      <w:r>
        <w:rPr>
          <w:rFonts w:hint="default" w:ascii="Times New Roman" w:hAnsi="Times New Roman" w:eastAsia="方正仿宋简体" w:cs="Times New Roman"/>
          <w:b/>
          <w:bCs/>
          <w:sz w:val="32"/>
          <w:szCs w:val="32"/>
          <w:lang w:val="en-US"/>
        </w:rPr>
        <w:t>7. 完成国家和省要求的重大活动和突发事件档案归集工作。</w:t>
      </w:r>
      <w:r>
        <w:rPr>
          <w:rFonts w:hint="default" w:ascii="Times New Roman" w:hAnsi="Times New Roman" w:eastAsia="方正仿宋简体" w:cs="Times New Roman"/>
          <w:b/>
          <w:bCs/>
          <w:sz w:val="32"/>
          <w:szCs w:val="32"/>
        </w:rPr>
        <w:t>2022年，县档案馆完成20个镇（街道）、县扶贫开发局的脱贫攻坚档案，县发改局的脱贫攻坚项目档案共计89卷、16</w:t>
      </w:r>
      <w:r>
        <w:rPr>
          <w:rFonts w:hint="default" w:ascii="Times New Roman" w:hAnsi="Times New Roman" w:eastAsia="方正仿宋简体" w:cs="Times New Roman"/>
          <w:b/>
          <w:bCs/>
          <w:sz w:val="32"/>
          <w:szCs w:val="32"/>
          <w:lang w:val="en-US"/>
        </w:rPr>
        <w:t>566</w:t>
      </w:r>
      <w:r>
        <w:rPr>
          <w:rFonts w:hint="default" w:ascii="Times New Roman" w:hAnsi="Times New Roman" w:eastAsia="方正仿宋简体" w:cs="Times New Roman"/>
          <w:b/>
          <w:bCs/>
          <w:sz w:val="32"/>
          <w:szCs w:val="32"/>
        </w:rPr>
        <w:t>件的“双套制”接收，完成2021年疫情防控档案2914件、</w:t>
      </w:r>
      <w:r>
        <w:rPr>
          <w:rFonts w:hint="default" w:ascii="Times New Roman" w:hAnsi="Times New Roman" w:eastAsia="方正仿宋简体" w:cs="Times New Roman"/>
          <w:b/>
          <w:bCs/>
          <w:sz w:val="32"/>
          <w:szCs w:val="32"/>
          <w:lang w:val="en-US"/>
        </w:rPr>
        <w:t>“9·16”泸县地震抗震救灾档案1455件、</w:t>
      </w:r>
      <w:r>
        <w:rPr>
          <w:rFonts w:hint="default" w:ascii="Times New Roman" w:hAnsi="Times New Roman" w:eastAsia="方正仿宋简体" w:cs="Times New Roman"/>
          <w:b/>
          <w:bCs/>
          <w:sz w:val="32"/>
          <w:szCs w:val="32"/>
        </w:rPr>
        <w:t>党史学习教育档案638件的“双套制”接收，且目录数据挂接比例达100%，并已投入使用。抓好全面实施乡村振兴战略形成的文件材料收集归档，指导乡村振兴局收集文件材料约150盒，为创建省级乡村振兴成效显著县服好务。</w:t>
      </w:r>
    </w:p>
    <w:p>
      <w:pPr>
        <w:pStyle w:val="5"/>
        <w:pageBreakBefore w:val="0"/>
        <w:kinsoku/>
        <w:wordWrap/>
        <w:overflowPunct/>
        <w:topLinePunct w:val="0"/>
        <w:bidi w:val="0"/>
        <w:spacing w:beforeLines="0" w:line="54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rPr>
        <w:t>8. 高标准实施“一体两翼”特色发展战略档案记忆工程。</w:t>
      </w:r>
      <w:r>
        <w:rPr>
          <w:rFonts w:hint="default" w:ascii="Times New Roman" w:hAnsi="Times New Roman" w:eastAsia="方正仿宋简体" w:cs="Times New Roman"/>
          <w:b/>
          <w:bCs/>
          <w:sz w:val="32"/>
          <w:szCs w:val="32"/>
        </w:rPr>
        <w:t>积极指导“东翼”泸县建设指挥部开展文件材料收集，并开展专题数据库建设；加强对企业和项目档案工作的监督指导，2022年，我县共有重点项目148个，项目档案登记单位131个，登记率88.5%，其中，省、市级登记22个，登记率100%。联合县发改局推进2022年度市级重点建设竣工项目（泸县公共医疗卫生PPP项目）档案工作，已收集纸质文件材料500余盒，图纸厚度约8米，数码照片约4000张，视频约600件，电子文件约100G</w:t>
      </w:r>
      <w:r>
        <w:rPr>
          <w:rFonts w:hint="eastAsia" w:ascii="Times New Roman" w:eastAsia="方正仿宋简体" w:cs="Times New Roman"/>
          <w:b/>
          <w:bCs/>
          <w:sz w:val="32"/>
          <w:szCs w:val="32"/>
          <w:lang w:val="en-US" w:eastAsia="zh-CN"/>
        </w:rPr>
        <w:t>B</w:t>
      </w:r>
      <w:r>
        <w:rPr>
          <w:rFonts w:hint="default" w:ascii="Times New Roman" w:hAnsi="Times New Roman" w:eastAsia="方正仿宋简体" w:cs="Times New Roman"/>
          <w:b/>
          <w:bCs/>
          <w:sz w:val="32"/>
          <w:szCs w:val="32"/>
        </w:rPr>
        <w:t>。</w:t>
      </w:r>
    </w:p>
    <w:p>
      <w:pPr>
        <w:pStyle w:val="27"/>
        <w:pageBreakBefore w:val="0"/>
        <w:tabs>
          <w:tab w:val="left" w:pos="1223"/>
          <w:tab w:val="left" w:pos="1224"/>
        </w:tabs>
        <w:kinsoku/>
        <w:wordWrap/>
        <w:overflowPunct/>
        <w:topLinePunct w:val="0"/>
        <w:bidi w:val="0"/>
        <w:spacing w:line="540" w:lineRule="exact"/>
        <w:ind w:left="0" w:firstLine="630" w:firstLineChars="196"/>
        <w:jc w:val="both"/>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rPr>
        <w:t>9. 创新档案开放审核工作。</w:t>
      </w:r>
      <w:r>
        <w:rPr>
          <w:rFonts w:hint="default" w:ascii="Times New Roman" w:hAnsi="Times New Roman" w:eastAsia="方正仿宋简体" w:cs="Times New Roman"/>
          <w:b/>
          <w:bCs/>
          <w:sz w:val="32"/>
          <w:szCs w:val="32"/>
        </w:rPr>
        <w:t>建立健全档案开放审核建议机制和馆藏档案开放审核制度，推动档案开放审核工作法治化规范化。根据国家档案局《国家档案馆档案开放办法》（档案局令第19号），印发了《泸县档案馆档案开放审核实施细则（暂行）》，以馆藏泸县宝藏公社档案试点，以逐卷、逐件、逐页、逐字审阅的方式初审，再由领导小组、立档单位或其主管部门、县档案局复审，共审核204卷5935件，开放档案152件。</w:t>
      </w:r>
    </w:p>
    <w:p>
      <w:pPr>
        <w:pStyle w:val="5"/>
        <w:pageBreakBefore w:val="0"/>
        <w:kinsoku/>
        <w:wordWrap/>
        <w:overflowPunct/>
        <w:topLinePunct w:val="0"/>
        <w:bidi w:val="0"/>
        <w:spacing w:beforeLines="0" w:line="54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rPr>
        <w:t>10. 深入挖掘档案资源价值。</w:t>
      </w:r>
      <w:r>
        <w:rPr>
          <w:rFonts w:hint="default" w:ascii="Times New Roman" w:hAnsi="Times New Roman" w:eastAsia="方正仿宋简体" w:cs="Times New Roman"/>
          <w:b/>
          <w:bCs/>
          <w:sz w:val="32"/>
          <w:szCs w:val="32"/>
        </w:rPr>
        <w:t>启动“四史”教育专题档案资料库建设工作，“双套制”接收党史学习教育档案进馆，完成资料库的建设；积极配合“档案文献遗产名录”的申报工作，提交了1927年刘伯承任泸州起义军总指挥时颁布的《国民革命军川军各路总指挥布告》申报书；联合县委宣传部、县文联、县政协诗书画院编印《铭记</w:t>
      </w:r>
      <w:r>
        <w:rPr>
          <w:rFonts w:hint="default" w:ascii="Times New Roman" w:hAnsi="Times New Roman" w:eastAsia="方正仿宋简体" w:cs="Times New Roman"/>
          <w:b/>
          <w:bCs/>
          <w:sz w:val="32"/>
          <w:szCs w:val="32"/>
          <w:lang w:val="en-US"/>
        </w:rPr>
        <w:t>--</w:t>
      </w:r>
      <w:r>
        <w:rPr>
          <w:rFonts w:hint="default" w:ascii="Times New Roman" w:hAnsi="Times New Roman" w:eastAsia="方正仿宋简体" w:cs="Times New Roman"/>
          <w:b/>
          <w:bCs/>
          <w:sz w:val="32"/>
          <w:szCs w:val="32"/>
        </w:rPr>
        <w:t>“9·16”泸县地震》画册；全力配合市委宣传部、市档案馆、市应急管理局联合编印《浴火重生 感恩奋进——“9·16”泸县地震抗震救灾暨灾后重建影像纪实》，打造档案文化品牌。</w:t>
      </w:r>
    </w:p>
    <w:p>
      <w:pPr>
        <w:pageBreakBefore w:val="0"/>
        <w:kinsoku/>
        <w:wordWrap/>
        <w:overflowPunct/>
        <w:topLinePunct w:val="0"/>
        <w:bidi w:val="0"/>
        <w:spacing w:line="54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11. 强化档案文化宣传，用好档案行业“一报两刊”。已征订《中国档案报》1份、《中国档案》2份、《四川档案》全年刊90份。在市级以上网站、报刊、杂志等媒体共采用档案文章（信息）43篇，其中《四川泸县档案馆档案数字化助力婚姻登记“跨省通办”》刊发于《中国档案报》总第3779期第二版，《档案数字化助力婚姻登记“跨省通办”》刊发于《四川档案》2022年第1期，《做好“9·16”泸县地震突发事件档案管理的四个关键》刊发于《四川档案》2022年第5期。</w:t>
      </w:r>
    </w:p>
    <w:p>
      <w:pPr>
        <w:pStyle w:val="5"/>
        <w:pageBreakBefore w:val="0"/>
        <w:kinsoku/>
        <w:wordWrap/>
        <w:overflowPunct/>
        <w:topLinePunct w:val="0"/>
        <w:bidi w:val="0"/>
        <w:spacing w:beforeLines="0" w:line="54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rPr>
        <w:t>12. 持续提升档案利用服务水平。</w:t>
      </w:r>
      <w:r>
        <w:rPr>
          <w:rFonts w:hint="default" w:ascii="Times New Roman" w:hAnsi="Times New Roman" w:eastAsia="方正仿宋简体" w:cs="Times New Roman"/>
          <w:b/>
          <w:bCs/>
          <w:sz w:val="32"/>
          <w:szCs w:val="32"/>
        </w:rPr>
        <w:t>推行“线上+线下”开放服务模式，修订完善了查档指南、查档须知、档案利用制度，全年共接待群众4166人次，提供档案3484卷1238件，出具证明3807份，复印档案5913页；开展了互联网利用服务，积极接入全国档案查询利用服务体系及四川省异地查档服务体系，深化民生档案“异地查档、跨馆服务”工作，为档案利用者提供更优质便捷的智能化服务，全年完成异地查档29例；与泸县党史研究室、泸县电子政务管理中心、泸县民政局等单位签订资料共享、数据共享的协议书，进一步扩大了民生档案档案资源共建共享利用的覆盖面。</w:t>
      </w:r>
    </w:p>
    <w:p>
      <w:pPr>
        <w:pStyle w:val="5"/>
        <w:pageBreakBefore w:val="0"/>
        <w:kinsoku/>
        <w:wordWrap/>
        <w:overflowPunct/>
        <w:topLinePunct w:val="0"/>
        <w:bidi w:val="0"/>
        <w:spacing w:beforeLines="0" w:line="54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rPr>
        <w:t>13. 加快数字档案馆（室）建设步伐。</w:t>
      </w:r>
      <w:r>
        <w:rPr>
          <w:rFonts w:hint="default" w:ascii="Times New Roman" w:hAnsi="Times New Roman" w:eastAsia="方正仿宋简体" w:cs="Times New Roman"/>
          <w:b/>
          <w:bCs/>
          <w:sz w:val="32"/>
          <w:szCs w:val="32"/>
        </w:rPr>
        <w:t>加快推进泸县综合档案馆馆库安装建设项目，尽快将档案馆综合管理服务系统投入使用。</w:t>
      </w:r>
      <w:r>
        <w:rPr>
          <w:rFonts w:hint="eastAsia" w:ascii="Times New Roman" w:eastAsia="方正仿宋简体" w:cs="Times New Roman"/>
          <w:b/>
          <w:bCs/>
          <w:sz w:val="32"/>
          <w:szCs w:val="32"/>
          <w:lang w:eastAsia="zh-CN"/>
        </w:rPr>
        <w:t>持续推进数字档案资源建设，积极开展馆藏存量档案数字化和档案“双套制”接收工作。</w:t>
      </w:r>
      <w:r>
        <w:rPr>
          <w:rFonts w:hint="default" w:ascii="Times New Roman" w:hAnsi="Times New Roman" w:eastAsia="方正仿宋简体" w:cs="Times New Roman"/>
          <w:b/>
          <w:bCs/>
          <w:sz w:val="32"/>
          <w:szCs w:val="32"/>
        </w:rPr>
        <w:t>截至目前，馆藏应数字化档案数字化率达28.04%（按卷管理）、93.14%(按件管理）。</w:t>
      </w:r>
    </w:p>
    <w:p>
      <w:pPr>
        <w:pStyle w:val="5"/>
        <w:pageBreakBefore w:val="0"/>
        <w:kinsoku/>
        <w:wordWrap/>
        <w:overflowPunct/>
        <w:topLinePunct w:val="0"/>
        <w:bidi w:val="0"/>
        <w:spacing w:beforeLines="0" w:line="54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rPr>
        <w:t>14. 牢守档案安全底线。</w:t>
      </w:r>
      <w:r>
        <w:rPr>
          <w:rFonts w:hint="default" w:ascii="Times New Roman" w:hAnsi="Times New Roman" w:eastAsia="方正仿宋简体" w:cs="Times New Roman"/>
          <w:b/>
          <w:bCs/>
          <w:sz w:val="32"/>
          <w:szCs w:val="32"/>
        </w:rPr>
        <w:t>加快推进泸县综合档案馆项目主体工程和馆库安装项目建设进度，补齐档案馆库硬件短板，提升档案安全保障能力。严格落实档案库房“九防”要求，健全“人防、物防、技防”档案安全防范体系，开展馆库节前安全检查6次，聘请专业的维保公司—泸州利信消防检测有限公司进行建筑消防设施设备维护保养12次，开展火灾应急处置桌面演练1次。建立健全档案安全管理制度，压紧压实各单位档案安全主体责任、领导责任和监管责任，加强档案安全风险隐患排查治理，强化应急培训和演练，对全县档案馆（室）开展重点安全检查，督促存在安全隐患或不符合规范的立档单位进行整改。加大汛期档案安全工作检查力度，印发《关于加强汛期档案安全工作的通知》，实施汛期档案安全“零报告”制度。加强档案提供利用、外包服务过程监管，将档案外包服务公司档案安全方面纳入了档案行政执法检查内容之一，定期不定期对档案数字化现场进行检查，确保档案绝对安全。</w:t>
      </w:r>
      <w:r>
        <w:rPr>
          <w:rFonts w:hint="default" w:ascii="Times New Roman" w:hAnsi="Times New Roman" w:eastAsia="方正仿宋简体" w:cs="Times New Roman"/>
          <w:b/>
          <w:bCs/>
          <w:sz w:val="32"/>
          <w:szCs w:val="32"/>
          <w:lang w:val="en-US"/>
        </w:rPr>
        <w:t>筑牢档案信息安全屏障。</w:t>
      </w:r>
      <w:r>
        <w:rPr>
          <w:rFonts w:hint="default" w:ascii="Times New Roman" w:hAnsi="Times New Roman" w:eastAsia="方正仿宋简体" w:cs="Times New Roman"/>
          <w:b/>
          <w:bCs/>
          <w:sz w:val="32"/>
          <w:szCs w:val="32"/>
        </w:rPr>
        <w:t>建立完善了《泸县档案馆网络与信息安全应急预案》《机房管理工作制度》《档案数字信息安全运行管理制度》《数字资源容灾备份制度》等，建立健全网络与信息安全事件的预防和应急处理工作机制，配备防火墙、杀毒软件、独立交换机等软硬件设备设施，定期不定期开展机房和网络安全巡查，确保档案信息存储、传输和利用服务安全。对馆藏档案的数字化副本数据进行本地和异地备份，并对备份数据载体开展安全检测，对存在数据丢失风险的存储载体及时备份、复刻，确保数据安全。全年未发生档案实体、信息安全事故。</w:t>
      </w:r>
    </w:p>
    <w:p>
      <w:pPr>
        <w:pStyle w:val="5"/>
        <w:pageBreakBefore w:val="0"/>
        <w:kinsoku/>
        <w:wordWrap/>
        <w:overflowPunct/>
        <w:topLinePunct w:val="0"/>
        <w:bidi w:val="0"/>
        <w:spacing w:beforeLines="0" w:line="54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rPr>
        <w:t>1</w:t>
      </w:r>
      <w:r>
        <w:rPr>
          <w:rFonts w:hint="eastAsia" w:asci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lang w:val="en-US"/>
        </w:rPr>
        <w:t>. 加强干部队伍建设。</w:t>
      </w:r>
      <w:r>
        <w:rPr>
          <w:rFonts w:hint="default" w:ascii="Times New Roman" w:hAnsi="Times New Roman" w:eastAsia="方正仿宋简体" w:cs="Times New Roman"/>
          <w:b/>
          <w:bCs/>
          <w:sz w:val="32"/>
          <w:szCs w:val="32"/>
        </w:rPr>
        <w:t>开展“创一流机关、建一流队伍能力提升年”活动，提升干部职工的政治能力、学习能力、工作能力和创新能力，打造了一批真抓实干、积极奋进的档案人才队伍。2022年，1名职工正在推荐入选四川省档案专业人才库，1名职工获市疫情防控档案工作先进个人，3名职工获县委、县政府嘉奖，1名职工被市档案局、市档案馆评为“云上读档</w:t>
      </w:r>
      <w:r>
        <w:rPr>
          <w:rFonts w:hint="default" w:ascii="Times New Roman" w:hAnsi="Times New Roman" w:eastAsia="方正仿宋简体" w:cs="Times New Roman"/>
          <w:b/>
          <w:bCs/>
          <w:sz w:val="32"/>
          <w:szCs w:val="32"/>
          <w:lang w:val="en-US"/>
        </w:rPr>
        <w:t>·</w:t>
      </w:r>
      <w:r>
        <w:rPr>
          <w:rFonts w:hint="default" w:ascii="Times New Roman" w:hAnsi="Times New Roman" w:eastAsia="方正仿宋简体" w:cs="Times New Roman"/>
          <w:b/>
          <w:bCs/>
          <w:sz w:val="32"/>
          <w:szCs w:val="32"/>
        </w:rPr>
        <w:t>共颂辉煌”视频展播活动“优秀读档人”，1名职工被县委办机关党委评为“优秀共产党员”；泸县玉蟾街道白龙塔村、云龙镇朱梅滩村被市档案馆评为“档案工作服务农村基层社会治理先进单位”；泸县人民政府玉蟾街道办事处获市脱贫攻坚档案工作先进集体，泸县档案馆获市疫情防控档案工作先进集体，泸县档案馆获2021年综合目标考核一等。积极开展档案专业技术人员职称评审，</w:t>
      </w:r>
      <w:r>
        <w:rPr>
          <w:rFonts w:hint="default" w:ascii="Times New Roman" w:hAnsi="Times New Roman" w:eastAsia="方正仿宋简体" w:cs="Times New Roman"/>
          <w:b/>
          <w:bCs/>
          <w:sz w:val="32"/>
          <w:szCs w:val="32"/>
          <w:lang w:val="en-US"/>
        </w:rPr>
        <w:t>1人申报助理馆员。</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highlight w:val="none"/>
          <w:shd w:val="clear" w:color="auto" w:fill="FFFFFF"/>
          <w:lang w:val="zh-CN"/>
        </w:rPr>
      </w:pPr>
      <w:r>
        <w:rPr>
          <w:rFonts w:hint="eastAsia" w:ascii="方正楷体简体" w:hAnsi="方正楷体简体" w:eastAsia="方正楷体简体" w:cs="方正楷体简体"/>
          <w:b/>
          <w:bCs/>
          <w:color w:val="auto"/>
          <w:kern w:val="0"/>
          <w:sz w:val="32"/>
          <w:szCs w:val="32"/>
          <w:highlight w:val="none"/>
          <w:shd w:val="clear" w:color="auto" w:fill="FFFFFF"/>
          <w:lang w:val="zh-CN"/>
        </w:rPr>
        <w:t>（四）部门整体支出绩效目标</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highlight w:val="none"/>
          <w:shd w:val="clear" w:color="auto" w:fill="FFFFFF"/>
          <w:lang w:val="zh-CN"/>
        </w:rPr>
      </w:pPr>
      <w:r>
        <w:rPr>
          <w:rFonts w:hint="eastAsia" w:ascii="Times New Roman" w:hAnsi="Times New Roman" w:eastAsia="方正仿宋简体" w:cs="Times New Roman"/>
          <w:b/>
          <w:bCs/>
          <w:kern w:val="0"/>
          <w:sz w:val="32"/>
          <w:szCs w:val="32"/>
          <w:lang w:val="zh-CN" w:eastAsia="zh-CN" w:bidi="ar-SA"/>
        </w:rPr>
        <w:t>在</w:t>
      </w:r>
      <w:r>
        <w:rPr>
          <w:rFonts w:hint="eastAsia" w:ascii="Times New Roman" w:hAnsi="Times New Roman" w:eastAsia="方正仿宋简体" w:cs="Times New Roman"/>
          <w:b/>
          <w:bCs/>
          <w:kern w:val="0"/>
          <w:sz w:val="32"/>
          <w:szCs w:val="32"/>
          <w:lang w:val="en-US" w:eastAsia="zh-CN" w:bidi="ar-SA"/>
        </w:rPr>
        <w:t>2022年度预算收支内，确保完成以下整体绩效目标：</w:t>
      </w:r>
      <w:r>
        <w:rPr>
          <w:rFonts w:hint="eastAsia" w:eastAsia="方正仿宋简体" w:cs="Times New Roman"/>
          <w:b/>
          <w:bCs/>
          <w:kern w:val="0"/>
          <w:sz w:val="32"/>
          <w:szCs w:val="32"/>
          <w:lang w:val="en-US" w:eastAsia="zh-CN" w:bidi="ar-SA"/>
        </w:rPr>
        <w:t>1.保证职工基本工资、津贴补贴、奖金的发放，保证住房公积金、养老保险等各类社保的缴纳，保证单位日常办公所需的各种日常公用经费的支出；2</w:t>
      </w:r>
      <w:r>
        <w:rPr>
          <w:rFonts w:hint="eastAsia" w:ascii="Times New Roman" w:hAnsi="Times New Roman" w:eastAsia="方正仿宋简体" w:cs="Times New Roman"/>
          <w:b/>
          <w:bCs/>
          <w:kern w:val="0"/>
          <w:sz w:val="32"/>
          <w:szCs w:val="32"/>
          <w:lang w:val="en-US" w:eastAsia="zh-CN" w:bidi="ar-SA"/>
        </w:rPr>
        <w:t>.收集和接收本馆保管范围内对国家和社会有保存价值的档案；</w:t>
      </w:r>
      <w:r>
        <w:rPr>
          <w:rFonts w:hint="eastAsia" w:eastAsia="方正仿宋简体" w:cs="Times New Roman"/>
          <w:b/>
          <w:bCs/>
          <w:kern w:val="0"/>
          <w:sz w:val="32"/>
          <w:szCs w:val="32"/>
          <w:lang w:val="en-US" w:eastAsia="zh-CN" w:bidi="ar-SA"/>
        </w:rPr>
        <w:t>3</w:t>
      </w:r>
      <w:r>
        <w:rPr>
          <w:rFonts w:hint="eastAsia" w:ascii="Times New Roman" w:hAnsi="Times New Roman" w:eastAsia="方正仿宋简体" w:cs="Times New Roman"/>
          <w:b/>
          <w:bCs/>
          <w:kern w:val="0"/>
          <w:sz w:val="32"/>
          <w:szCs w:val="32"/>
          <w:lang w:val="en-US" w:eastAsia="zh-CN" w:bidi="ar-SA"/>
        </w:rPr>
        <w:t>.对所保存的档案严格按照档案保管保护的要求进行保管保护；</w:t>
      </w:r>
      <w:r>
        <w:rPr>
          <w:rFonts w:hint="eastAsia" w:eastAsia="方正仿宋简体" w:cs="Times New Roman"/>
          <w:b/>
          <w:bCs/>
          <w:kern w:val="0"/>
          <w:sz w:val="32"/>
          <w:szCs w:val="32"/>
          <w:lang w:val="en-US" w:eastAsia="zh-CN" w:bidi="ar-SA"/>
        </w:rPr>
        <w:t>4</w:t>
      </w:r>
      <w:r>
        <w:rPr>
          <w:rFonts w:hint="eastAsia" w:ascii="Times New Roman" w:hAnsi="Times New Roman" w:eastAsia="方正仿宋简体" w:cs="Times New Roman"/>
          <w:b/>
          <w:bCs/>
          <w:kern w:val="0"/>
          <w:sz w:val="32"/>
          <w:szCs w:val="32"/>
          <w:lang w:val="en-US" w:eastAsia="zh-CN" w:bidi="ar-SA"/>
        </w:rPr>
        <w:t>.采取多种形式开发档案资源，为社会利用档案资源提供服务；</w:t>
      </w:r>
      <w:r>
        <w:rPr>
          <w:rFonts w:hint="eastAsia" w:eastAsia="方正仿宋简体" w:cs="Times New Roman"/>
          <w:b/>
          <w:bCs/>
          <w:kern w:val="0"/>
          <w:sz w:val="32"/>
          <w:szCs w:val="32"/>
          <w:lang w:val="en-US" w:eastAsia="zh-CN" w:bidi="ar-SA"/>
        </w:rPr>
        <w:t>5</w:t>
      </w:r>
      <w:r>
        <w:rPr>
          <w:rFonts w:hint="eastAsia" w:ascii="Times New Roman" w:hAnsi="Times New Roman" w:eastAsia="方正仿宋简体" w:cs="Times New Roman"/>
          <w:b/>
          <w:bCs/>
          <w:kern w:val="0"/>
          <w:sz w:val="32"/>
          <w:szCs w:val="32"/>
          <w:lang w:val="en-US" w:eastAsia="zh-CN" w:bidi="ar-SA"/>
        </w:rPr>
        <w:t>.电子档案的接收及馆藏存量档案的数字化加工。</w:t>
      </w:r>
    </w:p>
    <w:p>
      <w:pPr>
        <w:keepNext w:val="0"/>
        <w:keepLines w:val="0"/>
        <w:pageBreakBefore w:val="0"/>
        <w:widowControl/>
        <w:numPr>
          <w:ilvl w:val="0"/>
          <w:numId w:val="5"/>
        </w:numPr>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黑体简体" w:hAnsi="方正黑体简体" w:eastAsia="方正黑体简体" w:cs="方正黑体简体"/>
          <w:b/>
          <w:bCs/>
          <w:color w:val="auto"/>
          <w:kern w:val="0"/>
          <w:sz w:val="32"/>
          <w:szCs w:val="32"/>
          <w:highlight w:val="none"/>
          <w:shd w:val="clear" w:color="auto" w:fill="FFFFFF"/>
          <w:lang w:val="zh-CN"/>
        </w:rPr>
      </w:pPr>
      <w:r>
        <w:rPr>
          <w:rFonts w:hint="eastAsia" w:ascii="方正黑体简体" w:hAnsi="方正黑体简体" w:eastAsia="方正黑体简体" w:cs="方正黑体简体"/>
          <w:b/>
          <w:bCs/>
          <w:color w:val="auto"/>
          <w:kern w:val="0"/>
          <w:sz w:val="32"/>
          <w:szCs w:val="32"/>
          <w:highlight w:val="none"/>
          <w:shd w:val="clear" w:color="auto" w:fill="FFFFFF"/>
          <w:lang w:val="zh-CN" w:eastAsia="zh-CN"/>
        </w:rPr>
        <w:t>部门</w:t>
      </w:r>
      <w:r>
        <w:rPr>
          <w:rFonts w:hint="eastAsia" w:ascii="方正黑体简体" w:hAnsi="方正黑体简体" w:eastAsia="方正黑体简体" w:cs="方正黑体简体"/>
          <w:b/>
          <w:bCs/>
          <w:color w:val="auto"/>
          <w:kern w:val="0"/>
          <w:sz w:val="32"/>
          <w:szCs w:val="32"/>
          <w:highlight w:val="none"/>
          <w:shd w:val="clear" w:color="auto" w:fill="FFFFFF"/>
          <w:lang w:val="zh-CN"/>
        </w:rPr>
        <w:t>资金收支情况</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highlight w:val="none"/>
          <w:shd w:val="clear" w:color="auto" w:fill="FFFFFF"/>
          <w:lang w:val="zh-CN"/>
        </w:rPr>
      </w:pPr>
      <w:r>
        <w:rPr>
          <w:rFonts w:hint="eastAsia" w:ascii="方正楷体简体" w:hAnsi="方正楷体简体" w:eastAsia="方正楷体简体" w:cs="方正楷体简体"/>
          <w:b/>
          <w:bCs/>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default" w:ascii="Times New Roman" w:hAnsi="Times New Roman" w:eastAsia="方正仿宋简体" w:cs="Times New Roman"/>
          <w:b/>
          <w:bCs/>
          <w:color w:val="auto"/>
          <w:kern w:val="0"/>
          <w:sz w:val="32"/>
          <w:szCs w:val="32"/>
          <w:highlight w:val="none"/>
          <w:shd w:val="clear" w:color="auto" w:fill="FFFFFF"/>
          <w:lang w:val="en-US" w:eastAsia="zh-CN"/>
        </w:rPr>
      </w:pPr>
      <w:r>
        <w:rPr>
          <w:rFonts w:hint="default" w:ascii="Times New Roman" w:hAnsi="Times New Roman" w:eastAsia="方正仿宋简体" w:cs="Times New Roman"/>
          <w:b/>
          <w:bCs/>
          <w:color w:val="auto"/>
          <w:kern w:val="0"/>
          <w:sz w:val="32"/>
          <w:szCs w:val="32"/>
          <w:highlight w:val="none"/>
          <w:shd w:val="clear" w:color="auto" w:fill="FFFFFF"/>
          <w:lang w:val="en-US" w:eastAsia="zh-CN"/>
        </w:rPr>
        <w:t>1.部门总体收入情况</w:t>
      </w:r>
      <w:r>
        <w:rPr>
          <w:rFonts w:hint="eastAsia" w:ascii="Times New Roman" w:hAnsi="Times New Roman" w:eastAsia="方正仿宋简体" w:cs="Times New Roman"/>
          <w:b/>
          <w:bCs/>
          <w:color w:val="auto"/>
          <w:kern w:val="0"/>
          <w:sz w:val="32"/>
          <w:szCs w:val="32"/>
          <w:highlight w:val="none"/>
          <w:shd w:val="clear" w:color="auto" w:fill="FFFFFF"/>
          <w:lang w:val="en-US" w:eastAsia="zh-CN"/>
        </w:rPr>
        <w:t>。</w:t>
      </w:r>
      <w:r>
        <w:rPr>
          <w:rFonts w:hint="default"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w:t>
      </w:r>
      <w:r>
        <w:rPr>
          <w:rFonts w:hint="eastAsia" w:eastAsia="方正仿宋简体" w:cs="Times New Roman"/>
          <w:b/>
          <w:bCs/>
          <w:color w:val="auto"/>
          <w:sz w:val="32"/>
          <w:szCs w:val="32"/>
          <w:highlight w:val="none"/>
          <w:lang w:eastAsia="zh-CN"/>
        </w:rPr>
        <w:t>部门总体</w:t>
      </w:r>
      <w:r>
        <w:rPr>
          <w:rFonts w:hint="eastAsia" w:ascii="Times New Roman" w:hAnsi="Times New Roman" w:eastAsia="方正仿宋简体" w:cs="Times New Roman"/>
          <w:b/>
          <w:bCs/>
          <w:color w:val="auto"/>
          <w:sz w:val="32"/>
          <w:szCs w:val="32"/>
          <w:highlight w:val="none"/>
        </w:rPr>
        <w:t>收</w:t>
      </w:r>
      <w:r>
        <w:rPr>
          <w:rFonts w:hint="eastAsia" w:eastAsia="方正仿宋简体" w:cs="Times New Roman"/>
          <w:b/>
          <w:bCs/>
          <w:color w:val="auto"/>
          <w:sz w:val="32"/>
          <w:szCs w:val="32"/>
          <w:highlight w:val="none"/>
          <w:lang w:eastAsia="zh-CN"/>
        </w:rPr>
        <w:t>入</w:t>
      </w:r>
      <w:r>
        <w:rPr>
          <w:rFonts w:hint="eastAsia" w:eastAsia="方正仿宋简体" w:cs="Times New Roman"/>
          <w:b/>
          <w:bCs/>
          <w:color w:val="auto"/>
          <w:sz w:val="32"/>
          <w:szCs w:val="32"/>
          <w:highlight w:val="none"/>
          <w:lang w:val="en-US" w:eastAsia="zh-CN"/>
        </w:rPr>
        <w:t>362.02万元，其中上年结转结余10.13万元。</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default" w:ascii="Times New Roman" w:hAnsi="Times New Roman" w:eastAsia="方正仿宋简体" w:cs="Times New Roman"/>
          <w:b/>
          <w:bCs/>
          <w:color w:val="auto"/>
          <w:kern w:val="0"/>
          <w:sz w:val="32"/>
          <w:szCs w:val="32"/>
          <w:highlight w:val="none"/>
          <w:shd w:val="clear" w:color="auto" w:fill="FFFFFF"/>
          <w:lang w:val="en-US" w:eastAsia="zh-CN"/>
        </w:rPr>
      </w:pPr>
      <w:r>
        <w:rPr>
          <w:rFonts w:hint="default" w:ascii="Times New Roman" w:hAnsi="Times New Roman" w:eastAsia="方正仿宋简体" w:cs="Times New Roman"/>
          <w:b/>
          <w:bCs/>
          <w:color w:val="auto"/>
          <w:kern w:val="0"/>
          <w:sz w:val="32"/>
          <w:szCs w:val="32"/>
          <w:highlight w:val="none"/>
          <w:shd w:val="clear" w:color="auto" w:fill="FFFFFF"/>
          <w:lang w:val="en-US" w:eastAsia="zh-CN"/>
        </w:rPr>
        <w:t>2.部门总体支出情况</w:t>
      </w:r>
      <w:r>
        <w:rPr>
          <w:rFonts w:hint="eastAsia" w:ascii="Times New Roman" w:hAnsi="Times New Roman" w:eastAsia="方正仿宋简体" w:cs="Times New Roman"/>
          <w:b/>
          <w:bCs/>
          <w:color w:val="auto"/>
          <w:kern w:val="0"/>
          <w:sz w:val="32"/>
          <w:szCs w:val="32"/>
          <w:highlight w:val="none"/>
          <w:shd w:val="clear" w:color="auto" w:fill="FFFFFF"/>
          <w:lang w:val="en-US" w:eastAsia="zh-CN"/>
        </w:rPr>
        <w:t>。</w:t>
      </w:r>
      <w:r>
        <w:rPr>
          <w:rFonts w:hint="default"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w:t>
      </w:r>
      <w:r>
        <w:rPr>
          <w:rFonts w:hint="eastAsia" w:eastAsia="方正仿宋简体" w:cs="Times New Roman"/>
          <w:b/>
          <w:bCs/>
          <w:color w:val="auto"/>
          <w:sz w:val="32"/>
          <w:szCs w:val="32"/>
          <w:highlight w:val="none"/>
          <w:lang w:eastAsia="zh-CN"/>
        </w:rPr>
        <w:t>部门总体支出</w:t>
      </w:r>
      <w:r>
        <w:rPr>
          <w:rFonts w:hint="eastAsia" w:eastAsia="方正仿宋简体" w:cs="Times New Roman"/>
          <w:b/>
          <w:bCs/>
          <w:color w:val="auto"/>
          <w:sz w:val="32"/>
          <w:szCs w:val="32"/>
          <w:highlight w:val="none"/>
          <w:lang w:val="en-US" w:eastAsia="zh-CN"/>
        </w:rPr>
        <w:t>362.02万元，其中上年结转结余10.13万元。</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default" w:ascii="Times New Roman" w:hAnsi="Times New Roman" w:eastAsia="方正仿宋简体" w:cs="Times New Roman"/>
          <w:b/>
          <w:bCs/>
          <w:color w:val="auto"/>
          <w:kern w:val="0"/>
          <w:sz w:val="32"/>
          <w:szCs w:val="32"/>
          <w:highlight w:val="none"/>
          <w:shd w:val="clear" w:color="auto" w:fill="FFFFFF"/>
          <w:lang w:val="en-US" w:eastAsia="zh-CN"/>
        </w:rPr>
      </w:pPr>
      <w:r>
        <w:rPr>
          <w:rFonts w:hint="default" w:ascii="Times New Roman" w:hAnsi="Times New Roman" w:eastAsia="方正仿宋简体" w:cs="Times New Roman"/>
          <w:b/>
          <w:bCs/>
          <w:color w:val="auto"/>
          <w:kern w:val="0"/>
          <w:sz w:val="32"/>
          <w:szCs w:val="32"/>
          <w:highlight w:val="none"/>
          <w:shd w:val="clear" w:color="auto" w:fill="FFFFFF"/>
          <w:lang w:val="en-US" w:eastAsia="zh-CN"/>
        </w:rPr>
        <w:t>3.部门总体结转结余情况</w:t>
      </w:r>
      <w:r>
        <w:rPr>
          <w:rFonts w:hint="eastAsia" w:ascii="Times New Roman" w:hAnsi="Times New Roman" w:eastAsia="方正仿宋简体" w:cs="Times New Roman"/>
          <w:b/>
          <w:bCs/>
          <w:color w:val="auto"/>
          <w:kern w:val="0"/>
          <w:sz w:val="32"/>
          <w:szCs w:val="32"/>
          <w:highlight w:val="none"/>
          <w:shd w:val="clear" w:color="auto" w:fill="FFFFFF"/>
          <w:lang w:val="en-US" w:eastAsia="zh-CN"/>
        </w:rPr>
        <w:t>。2022年度部门总体无结转结余。</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highlight w:val="none"/>
          <w:shd w:val="clear" w:color="auto" w:fill="FFFFFF"/>
          <w:lang w:val="zh-CN"/>
        </w:rPr>
      </w:pPr>
      <w:r>
        <w:rPr>
          <w:rFonts w:hint="eastAsia" w:ascii="方正楷体简体" w:hAnsi="方正楷体简体" w:eastAsia="方正楷体简体" w:cs="方正楷体简体"/>
          <w:b/>
          <w:bCs/>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Times New Roman" w:hAnsi="Times New Roman" w:eastAsia="方正仿宋简体" w:cs="Times New Roman"/>
          <w:b/>
          <w:bCs/>
          <w:color w:val="auto"/>
          <w:kern w:val="0"/>
          <w:sz w:val="32"/>
          <w:szCs w:val="32"/>
          <w:highlight w:val="none"/>
          <w:shd w:val="clear" w:color="auto" w:fill="FFFFFF"/>
          <w:lang w:val="en-US" w:eastAsia="zh-CN"/>
        </w:rPr>
      </w:pPr>
      <w:r>
        <w:rPr>
          <w:rFonts w:hint="eastAsia" w:ascii="Times New Roman" w:hAnsi="Times New Roman" w:eastAsia="方正仿宋简体" w:cs="Times New Roman"/>
          <w:b/>
          <w:bCs/>
          <w:color w:val="auto"/>
          <w:kern w:val="0"/>
          <w:sz w:val="32"/>
          <w:szCs w:val="32"/>
          <w:highlight w:val="none"/>
          <w:shd w:val="clear" w:color="auto" w:fill="FFFFFF"/>
          <w:lang w:val="en-US" w:eastAsia="zh-CN"/>
        </w:rPr>
        <w:t>1.部门财政拨款收入情况</w:t>
      </w:r>
      <w:r>
        <w:rPr>
          <w:rFonts w:hint="eastAsia" w:eastAsia="方正仿宋简体" w:cs="Times New Roman"/>
          <w:b/>
          <w:bCs/>
          <w:color w:val="auto"/>
          <w:kern w:val="0"/>
          <w:sz w:val="32"/>
          <w:szCs w:val="32"/>
          <w:highlight w:val="none"/>
          <w:shd w:val="clear" w:color="auto" w:fill="FFFFFF"/>
          <w:lang w:val="en-US" w:eastAsia="zh-CN"/>
        </w:rPr>
        <w:t>。</w:t>
      </w:r>
      <w:r>
        <w:rPr>
          <w:rFonts w:hint="default"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年财政拨款收</w:t>
      </w:r>
      <w:r>
        <w:rPr>
          <w:rFonts w:hint="eastAsia" w:eastAsia="方正仿宋简体" w:cs="Times New Roman"/>
          <w:b/>
          <w:bCs/>
          <w:color w:val="auto"/>
          <w:sz w:val="32"/>
          <w:szCs w:val="32"/>
          <w:highlight w:val="none"/>
          <w:lang w:eastAsia="zh-CN"/>
        </w:rPr>
        <w:t>入</w:t>
      </w:r>
      <w:r>
        <w:rPr>
          <w:rFonts w:hint="eastAsia" w:eastAsia="方正仿宋简体" w:cs="Times New Roman"/>
          <w:b/>
          <w:bCs/>
          <w:color w:val="auto"/>
          <w:sz w:val="32"/>
          <w:szCs w:val="32"/>
          <w:highlight w:val="none"/>
          <w:lang w:val="en-US" w:eastAsia="zh-CN"/>
        </w:rPr>
        <w:t>362.02万元，其中上年结转结余10.13万元。</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default" w:ascii="Times New Roman" w:hAnsi="Times New Roman" w:eastAsia="方正仿宋简体" w:cs="Times New Roman"/>
          <w:b/>
          <w:bCs/>
          <w:color w:val="auto"/>
          <w:kern w:val="0"/>
          <w:sz w:val="32"/>
          <w:szCs w:val="32"/>
          <w:highlight w:val="none"/>
          <w:shd w:val="clear" w:color="auto" w:fill="FFFFFF"/>
          <w:lang w:val="en-US" w:eastAsia="zh-CN"/>
        </w:rPr>
      </w:pPr>
      <w:r>
        <w:rPr>
          <w:rFonts w:hint="eastAsia" w:ascii="Times New Roman" w:hAnsi="Times New Roman" w:eastAsia="方正仿宋简体" w:cs="Times New Roman"/>
          <w:b/>
          <w:bCs/>
          <w:color w:val="auto"/>
          <w:kern w:val="0"/>
          <w:sz w:val="32"/>
          <w:szCs w:val="32"/>
          <w:highlight w:val="none"/>
          <w:shd w:val="clear" w:color="auto" w:fill="FFFFFF"/>
          <w:lang w:val="en-US" w:eastAsia="zh-CN"/>
        </w:rPr>
        <w:t>2.部门财政拨款支出情况</w:t>
      </w:r>
      <w:r>
        <w:rPr>
          <w:rFonts w:hint="eastAsia" w:eastAsia="方正仿宋简体" w:cs="Times New Roman"/>
          <w:b/>
          <w:bCs/>
          <w:color w:val="auto"/>
          <w:kern w:val="0"/>
          <w:sz w:val="32"/>
          <w:szCs w:val="32"/>
          <w:highlight w:val="none"/>
          <w:shd w:val="clear" w:color="auto" w:fill="FFFFFF"/>
          <w:lang w:val="en-US" w:eastAsia="zh-CN"/>
        </w:rPr>
        <w:t>。</w:t>
      </w:r>
      <w:r>
        <w:rPr>
          <w:rFonts w:hint="default"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年财政拨款</w:t>
      </w:r>
      <w:r>
        <w:rPr>
          <w:rFonts w:hint="eastAsia" w:eastAsia="方正仿宋简体" w:cs="Times New Roman"/>
          <w:b/>
          <w:bCs/>
          <w:color w:val="auto"/>
          <w:sz w:val="32"/>
          <w:szCs w:val="32"/>
          <w:highlight w:val="none"/>
          <w:lang w:eastAsia="zh-CN"/>
        </w:rPr>
        <w:t>支出</w:t>
      </w:r>
      <w:r>
        <w:rPr>
          <w:rFonts w:hint="eastAsia" w:eastAsia="方正仿宋简体" w:cs="Times New Roman"/>
          <w:b/>
          <w:bCs/>
          <w:color w:val="auto"/>
          <w:sz w:val="32"/>
          <w:szCs w:val="32"/>
          <w:highlight w:val="none"/>
          <w:lang w:val="en-US" w:eastAsia="zh-CN"/>
        </w:rPr>
        <w:t>362.02万元，其中上年结转结余10.13万元。</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default" w:ascii="Times New Roman" w:hAnsi="Times New Roman" w:eastAsia="方正仿宋简体" w:cs="Times New Roman"/>
          <w:b/>
          <w:bCs/>
          <w:color w:val="auto"/>
          <w:kern w:val="0"/>
          <w:sz w:val="32"/>
          <w:szCs w:val="32"/>
          <w:highlight w:val="none"/>
          <w:shd w:val="clear" w:color="auto" w:fill="FFFFFF"/>
          <w:lang w:val="en-US" w:eastAsia="zh-CN"/>
        </w:rPr>
      </w:pPr>
      <w:r>
        <w:rPr>
          <w:rFonts w:hint="eastAsia" w:ascii="Times New Roman" w:hAnsi="Times New Roman" w:eastAsia="方正仿宋简体" w:cs="Times New Roman"/>
          <w:b/>
          <w:bCs/>
          <w:color w:val="auto"/>
          <w:kern w:val="0"/>
          <w:sz w:val="32"/>
          <w:szCs w:val="32"/>
          <w:highlight w:val="none"/>
          <w:shd w:val="clear" w:color="auto" w:fill="FFFFFF"/>
          <w:lang w:val="en-US" w:eastAsia="zh-CN"/>
        </w:rPr>
        <w:t>3.部门财政拨款结转结余情况</w:t>
      </w:r>
      <w:r>
        <w:rPr>
          <w:rFonts w:hint="eastAsia" w:eastAsia="方正仿宋简体" w:cs="Times New Roman"/>
          <w:b/>
          <w:bCs/>
          <w:color w:val="auto"/>
          <w:kern w:val="0"/>
          <w:sz w:val="32"/>
          <w:szCs w:val="32"/>
          <w:highlight w:val="none"/>
          <w:shd w:val="clear" w:color="auto" w:fill="FFFFFF"/>
          <w:lang w:val="en-US" w:eastAsia="zh-CN"/>
        </w:rPr>
        <w:t>。2022年财政拨款无结转结余。</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黑体简体" w:hAnsi="方正黑体简体" w:eastAsia="方正黑体简体" w:cs="方正黑体简体"/>
          <w:b/>
          <w:bCs/>
          <w:color w:val="auto"/>
          <w:kern w:val="0"/>
          <w:sz w:val="32"/>
          <w:szCs w:val="32"/>
          <w:highlight w:val="none"/>
          <w:shd w:val="clear" w:color="auto" w:fill="FFFFFF"/>
          <w:lang w:val="zh-CN" w:eastAsia="zh-CN"/>
        </w:rPr>
      </w:pPr>
      <w:r>
        <w:rPr>
          <w:rFonts w:hint="eastAsia" w:ascii="方正黑体简体" w:hAnsi="方正黑体简体" w:eastAsia="方正黑体简体" w:cs="方正黑体简体"/>
          <w:b/>
          <w:bCs/>
          <w:color w:val="auto"/>
          <w:kern w:val="0"/>
          <w:sz w:val="32"/>
          <w:szCs w:val="32"/>
          <w:highlight w:val="none"/>
          <w:shd w:val="clear" w:color="auto" w:fill="FFFFFF"/>
          <w:lang w:val="zh-CN" w:eastAsia="zh-CN"/>
        </w:rPr>
        <w:t>三、部门整体绩效分析</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highlight w:val="none"/>
          <w:shd w:val="clear" w:color="auto" w:fill="FFFFFF"/>
          <w:lang w:val="zh-CN"/>
        </w:rPr>
      </w:pPr>
      <w:r>
        <w:rPr>
          <w:rFonts w:hint="eastAsia" w:ascii="方正楷体简体" w:hAnsi="方正楷体简体" w:eastAsia="方正楷体简体" w:cs="方正楷体简体"/>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default" w:ascii="Times New Roman" w:hAnsi="Times New Roman" w:eastAsia="方正仿宋简体" w:cs="Times New Roman"/>
          <w:b/>
          <w:bCs/>
          <w:color w:val="auto"/>
          <w:kern w:val="0"/>
          <w:sz w:val="32"/>
          <w:szCs w:val="32"/>
          <w:highlight w:val="none"/>
          <w:shd w:val="clear" w:color="auto" w:fill="FFFFFF"/>
          <w:lang w:val="en-US" w:eastAsia="zh-CN"/>
        </w:rPr>
      </w:pPr>
      <w:r>
        <w:rPr>
          <w:rFonts w:hint="eastAsia" w:ascii="Times New Roman" w:hAnsi="Times New Roman" w:eastAsia="方正仿宋简体" w:cs="Times New Roman"/>
          <w:b/>
          <w:bCs/>
          <w:color w:val="auto"/>
          <w:kern w:val="0"/>
          <w:sz w:val="32"/>
          <w:szCs w:val="32"/>
          <w:highlight w:val="none"/>
          <w:shd w:val="clear" w:color="auto" w:fill="FFFFFF"/>
          <w:lang w:val="en-US" w:eastAsia="zh-CN"/>
        </w:rPr>
        <w:t>1.人员类项目绩效分析</w:t>
      </w:r>
      <w:r>
        <w:rPr>
          <w:rFonts w:hint="eastAsia" w:eastAsia="方正仿宋简体" w:cs="Times New Roman"/>
          <w:b/>
          <w:bCs/>
          <w:color w:val="auto"/>
          <w:kern w:val="0"/>
          <w:sz w:val="32"/>
          <w:szCs w:val="32"/>
          <w:highlight w:val="none"/>
          <w:shd w:val="clear" w:color="auto" w:fill="FFFFFF"/>
          <w:lang w:val="en-US" w:eastAsia="zh-CN"/>
        </w:rPr>
        <w:t>。为确保2022年度预算编制更加科学、</w:t>
      </w:r>
      <w:r>
        <w:rPr>
          <w:rFonts w:hint="default" w:ascii="Times New Roman" w:hAnsi="Times New Roman" w:eastAsia="方正仿宋简体" w:cs="Times New Roman"/>
          <w:b/>
          <w:bCs/>
          <w:kern w:val="0"/>
          <w:sz w:val="32"/>
          <w:szCs w:val="32"/>
          <w:shd w:val="clear" w:color="auto" w:fill="FFFFFF"/>
          <w:lang w:val="zh-CN" w:eastAsia="zh-CN"/>
        </w:rPr>
        <w:t>精准、完善，我馆严格</w:t>
      </w:r>
      <w:r>
        <w:rPr>
          <w:rFonts w:hint="eastAsia" w:eastAsia="方正仿宋简体" w:cs="Times New Roman"/>
          <w:b/>
          <w:bCs/>
          <w:kern w:val="0"/>
          <w:sz w:val="32"/>
          <w:szCs w:val="32"/>
          <w:shd w:val="clear" w:color="auto" w:fill="FFFFFF"/>
          <w:lang w:val="zh-CN" w:eastAsia="zh-CN"/>
        </w:rPr>
        <w:t>按照泸县人民政府</w:t>
      </w:r>
      <w:r>
        <w:rPr>
          <w:rFonts w:hint="default" w:ascii="Times New Roman" w:hAnsi="Times New Roman" w:eastAsia="方正仿宋简体" w:cs="Times New Roman"/>
          <w:b/>
          <w:bCs/>
          <w:kern w:val="0"/>
          <w:sz w:val="32"/>
          <w:szCs w:val="32"/>
          <w:shd w:val="clear" w:color="auto" w:fill="FFFFFF"/>
          <w:lang w:val="zh-CN" w:eastAsia="zh-CN"/>
        </w:rPr>
        <w:t>部门预算编制要求，</w:t>
      </w:r>
      <w:r>
        <w:rPr>
          <w:rFonts w:hint="eastAsia" w:eastAsia="方正仿宋简体" w:cs="Times New Roman"/>
          <w:b/>
          <w:bCs/>
          <w:kern w:val="0"/>
          <w:sz w:val="32"/>
          <w:szCs w:val="32"/>
          <w:shd w:val="clear" w:color="auto" w:fill="FFFFFF"/>
          <w:lang w:val="zh-CN" w:eastAsia="zh-CN"/>
        </w:rPr>
        <w:t>准确核实人员编制，准确掌握</w:t>
      </w:r>
      <w:r>
        <w:rPr>
          <w:rFonts w:hint="default" w:ascii="Times New Roman" w:hAnsi="Times New Roman" w:eastAsia="方正仿宋简体" w:cs="Times New Roman"/>
          <w:b/>
          <w:bCs/>
          <w:kern w:val="0"/>
          <w:sz w:val="32"/>
          <w:szCs w:val="32"/>
          <w:shd w:val="clear" w:color="auto" w:fill="FFFFFF"/>
          <w:lang w:val="zh-CN" w:eastAsia="zh-CN"/>
        </w:rPr>
        <w:t>实有在职、退休人员人数及各职级情况，据此测算出202</w:t>
      </w:r>
      <w:r>
        <w:rPr>
          <w:rFonts w:hint="eastAsia" w:eastAsia="方正仿宋简体" w:cs="Times New Roman"/>
          <w:b/>
          <w:bCs/>
          <w:kern w:val="0"/>
          <w:sz w:val="32"/>
          <w:szCs w:val="32"/>
          <w:shd w:val="clear" w:color="auto" w:fill="FFFFFF"/>
          <w:lang w:val="en-US" w:eastAsia="zh-CN"/>
        </w:rPr>
        <w:t>2</w:t>
      </w:r>
      <w:r>
        <w:rPr>
          <w:rFonts w:hint="default" w:ascii="Times New Roman" w:hAnsi="Times New Roman" w:eastAsia="方正仿宋简体" w:cs="Times New Roman"/>
          <w:b/>
          <w:bCs/>
          <w:kern w:val="0"/>
          <w:sz w:val="32"/>
          <w:szCs w:val="32"/>
          <w:shd w:val="clear" w:color="auto" w:fill="FFFFFF"/>
          <w:lang w:val="zh-CN" w:eastAsia="zh-CN"/>
        </w:rPr>
        <w:t>年度人员经费、公用经费、需求量。</w:t>
      </w:r>
      <w:r>
        <w:rPr>
          <w:rFonts w:hint="eastAsia" w:eastAsia="方正仿宋简体" w:cs="Times New Roman"/>
          <w:b/>
          <w:bCs/>
          <w:kern w:val="0"/>
          <w:sz w:val="32"/>
          <w:szCs w:val="32"/>
          <w:shd w:val="clear" w:color="auto" w:fill="FFFFFF"/>
          <w:lang w:val="en-US" w:eastAsia="zh-CN"/>
        </w:rPr>
        <w:t>2022年人员类项目的支出全部控制在预算经费内，未超额、超标准、超范围支出，完成预算的100%。</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default" w:ascii="Times New Roman" w:hAnsi="Times New Roman" w:eastAsia="方正仿宋简体" w:cs="Times New Roman"/>
          <w:b/>
          <w:bCs/>
          <w:color w:val="auto"/>
          <w:kern w:val="0"/>
          <w:sz w:val="32"/>
          <w:szCs w:val="32"/>
          <w:highlight w:val="none"/>
          <w:shd w:val="clear" w:color="auto" w:fill="FFFFFF"/>
          <w:lang w:val="en-US" w:eastAsia="zh-CN"/>
        </w:rPr>
      </w:pPr>
      <w:r>
        <w:rPr>
          <w:rFonts w:hint="eastAsia" w:ascii="Times New Roman" w:hAnsi="Times New Roman" w:eastAsia="方正仿宋简体" w:cs="Times New Roman"/>
          <w:b/>
          <w:bCs/>
          <w:color w:val="auto"/>
          <w:kern w:val="0"/>
          <w:sz w:val="32"/>
          <w:szCs w:val="32"/>
          <w:highlight w:val="none"/>
          <w:shd w:val="clear" w:color="auto" w:fill="FFFFFF"/>
          <w:lang w:val="en-US" w:eastAsia="zh-CN"/>
        </w:rPr>
        <w:t>2.运转类项目绩效分析</w:t>
      </w:r>
      <w:r>
        <w:rPr>
          <w:rFonts w:hint="eastAsia" w:eastAsia="方正仿宋简体" w:cs="Times New Roman"/>
          <w:b/>
          <w:bCs/>
          <w:color w:val="auto"/>
          <w:kern w:val="0"/>
          <w:sz w:val="32"/>
          <w:szCs w:val="32"/>
          <w:highlight w:val="none"/>
          <w:shd w:val="clear" w:color="auto" w:fill="FFFFFF"/>
          <w:lang w:val="en-US" w:eastAsia="zh-CN"/>
        </w:rPr>
        <w:t>。根据2022年工作重点工作及项目经费需求，编制了2022年运转类项目经费的预算。2022年运转类项目的全部支出无超额、超范围、违规使用的情况，完成预算的100%。</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default" w:ascii="Times New Roman" w:hAnsi="Times New Roman" w:eastAsia="方正仿宋简体" w:cs="Times New Roman"/>
          <w:b/>
          <w:bCs/>
          <w:color w:val="auto"/>
          <w:kern w:val="0"/>
          <w:sz w:val="32"/>
          <w:szCs w:val="32"/>
          <w:highlight w:val="none"/>
          <w:shd w:val="clear" w:color="auto" w:fill="FFFFFF"/>
          <w:lang w:val="en-US" w:eastAsia="zh-CN"/>
        </w:rPr>
      </w:pPr>
      <w:r>
        <w:rPr>
          <w:rFonts w:hint="eastAsia" w:ascii="Times New Roman" w:hAnsi="Times New Roman" w:eastAsia="方正仿宋简体" w:cs="Times New Roman"/>
          <w:b/>
          <w:bCs/>
          <w:color w:val="auto"/>
          <w:kern w:val="0"/>
          <w:sz w:val="32"/>
          <w:szCs w:val="32"/>
          <w:highlight w:val="none"/>
          <w:shd w:val="clear" w:color="auto" w:fill="FFFFFF"/>
          <w:lang w:val="en-US" w:eastAsia="zh-CN"/>
        </w:rPr>
        <w:t>3.特定目标类项目绩效分析</w:t>
      </w:r>
      <w:r>
        <w:rPr>
          <w:rFonts w:hint="eastAsia" w:eastAsia="方正仿宋简体" w:cs="Times New Roman"/>
          <w:b/>
          <w:bCs/>
          <w:color w:val="auto"/>
          <w:kern w:val="0"/>
          <w:sz w:val="32"/>
          <w:szCs w:val="32"/>
          <w:highlight w:val="none"/>
          <w:shd w:val="clear" w:color="auto" w:fill="FFFFFF"/>
          <w:lang w:val="en-US" w:eastAsia="zh-CN"/>
        </w:rPr>
        <w:t>。2022年特定目标类项目主要是档案数字化，主要用于2022年度馆藏档案的数字化扫描加工服务费，项目完成后经验收、审批后支付费用，确保资金专款专用。</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highlight w:val="none"/>
          <w:shd w:val="clear" w:color="auto" w:fill="FFFFFF"/>
          <w:lang w:val="zh-CN"/>
        </w:rPr>
      </w:pPr>
      <w:r>
        <w:rPr>
          <w:rFonts w:hint="eastAsia" w:ascii="方正楷体简体" w:hAnsi="方正楷体简体" w:eastAsia="方正楷体简体" w:cs="方正楷体简体"/>
          <w:b/>
          <w:bCs/>
          <w:color w:val="auto"/>
          <w:kern w:val="0"/>
          <w:sz w:val="32"/>
          <w:szCs w:val="32"/>
          <w:highlight w:val="none"/>
          <w:shd w:val="clear" w:color="auto" w:fill="FFFFFF"/>
          <w:lang w:val="zh-CN"/>
        </w:rPr>
        <w:t>（二）部门整体履职绩效分析</w:t>
      </w:r>
    </w:p>
    <w:p>
      <w:pPr>
        <w:pageBreakBefore w:val="0"/>
        <w:kinsoku/>
        <w:wordWrap/>
        <w:overflowPunct/>
        <w:topLinePunct w:val="0"/>
        <w:bidi w:val="0"/>
        <w:spacing w:line="578" w:lineRule="exact"/>
        <w:ind w:firstLine="643" w:firstLineChars="200"/>
        <w:textAlignment w:val="auto"/>
        <w:rPr>
          <w:rFonts w:eastAsia="方正仿宋简体"/>
          <w:b/>
          <w:bCs/>
          <w:sz w:val="32"/>
          <w:szCs w:val="32"/>
        </w:rPr>
      </w:pPr>
      <w:r>
        <w:rPr>
          <w:rFonts w:hint="eastAsia" w:eastAsia="方正仿宋简体"/>
          <w:b/>
          <w:bCs/>
          <w:sz w:val="32"/>
          <w:szCs w:val="32"/>
          <w:lang w:eastAsia="zh-CN"/>
        </w:rPr>
        <w:t>我馆</w:t>
      </w:r>
      <w:r>
        <w:rPr>
          <w:rFonts w:eastAsia="方正仿宋简体"/>
          <w:b/>
          <w:bCs/>
          <w:sz w:val="32"/>
          <w:szCs w:val="32"/>
        </w:rPr>
        <w:t>认真做好了</w:t>
      </w:r>
      <w:r>
        <w:rPr>
          <w:rFonts w:hint="eastAsia" w:eastAsia="方正仿宋简体"/>
          <w:b/>
          <w:bCs/>
          <w:sz w:val="32"/>
          <w:szCs w:val="32"/>
          <w:lang w:val="en-US" w:eastAsia="zh-CN"/>
        </w:rPr>
        <w:t>2022</w:t>
      </w:r>
      <w:r>
        <w:rPr>
          <w:rFonts w:eastAsia="方正仿宋简体"/>
          <w:b/>
          <w:bCs/>
          <w:sz w:val="32"/>
          <w:szCs w:val="32"/>
        </w:rPr>
        <w:t>年度财政资金的预算编制工作，做到应编尽编。在资金使用和管理方面，进一步强化资金统筹，优化资金结构，明确开支范围，细化资金用途，确保部门职责任务顺利完成。资金收支管理及会计核算较规范，能够按照新的政府会计制度和财务管理办法进行核算。全年基本支出保证了部门的正常运行和日常工作的正常开展；全年项目支出达到</w:t>
      </w:r>
      <w:r>
        <w:rPr>
          <w:rFonts w:hint="eastAsia" w:eastAsia="方正仿宋简体"/>
          <w:b/>
          <w:bCs/>
          <w:sz w:val="32"/>
          <w:szCs w:val="32"/>
          <w:lang w:eastAsia="zh-CN"/>
        </w:rPr>
        <w:t>了</w:t>
      </w:r>
      <w:r>
        <w:rPr>
          <w:rFonts w:eastAsia="方正仿宋简体"/>
          <w:b/>
          <w:bCs/>
          <w:sz w:val="32"/>
          <w:szCs w:val="32"/>
        </w:rPr>
        <w:t>预期绩效目标。</w:t>
      </w:r>
      <w:r>
        <w:rPr>
          <w:rFonts w:hint="eastAsia" w:eastAsia="方正仿宋简体"/>
          <w:b/>
          <w:bCs/>
          <w:sz w:val="32"/>
          <w:szCs w:val="32"/>
          <w:lang w:val="en-US" w:eastAsia="zh-CN"/>
        </w:rPr>
        <w:t>2022年</w:t>
      </w:r>
      <w:r>
        <w:rPr>
          <w:rFonts w:eastAsia="方正仿宋简体"/>
          <w:b/>
          <w:bCs/>
          <w:sz w:val="32"/>
          <w:szCs w:val="32"/>
        </w:rPr>
        <w:t>通过绩效评价树立了绩效理念，加强了对资金的监管，提高了财政资金的使用效率。</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keepNext w:val="0"/>
        <w:keepLines w:val="0"/>
        <w:pageBreakBefore w:val="0"/>
        <w:widowControl w:val="0"/>
        <w:kinsoku/>
        <w:wordWrap/>
        <w:overflowPunct/>
        <w:topLinePunct w:val="0"/>
        <w:autoSpaceDE/>
        <w:autoSpaceDN/>
        <w:bidi w:val="0"/>
        <w:spacing w:line="578" w:lineRule="exact"/>
        <w:ind w:left="0" w:leftChars="0" w:firstLine="620" w:firstLineChars="193"/>
        <w:textAlignment w:val="auto"/>
        <w:rPr>
          <w:rFonts w:hint="eastAsia" w:ascii="方正仿宋_GBK" w:hAnsi="方正仿宋_GBK" w:eastAsia="方正仿宋_GBK" w:cs="方正仿宋_GBK"/>
          <w:sz w:val="32"/>
          <w:szCs w:val="32"/>
          <w:lang w:val="zh-CN"/>
        </w:rPr>
      </w:pPr>
      <w:r>
        <w:rPr>
          <w:rFonts w:hint="eastAsia" w:ascii="方正仿宋简体" w:hAnsi="方正仿宋简体" w:eastAsia="方正仿宋简体" w:cs="方正仿宋简体"/>
          <w:b/>
          <w:bCs/>
          <w:sz w:val="32"/>
          <w:szCs w:val="32"/>
          <w:lang w:val="zh-CN"/>
        </w:rPr>
        <w:t>严格落实预算绩效挂钩，认真整改绩效评价过程中发现的问题，做到一对一整改到位，将评价结果作为今后项目立项重要依据、认真开展项目测算，完善预算绩效目标体系，切实将评价结果作为提高管理水平的支撑，促进提高预算管理整体水平。</w:t>
      </w:r>
    </w:p>
    <w:p>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default" w:ascii="仿宋_GB2312" w:hAnsi="仿宋_GB2312" w:eastAsia="仿宋_GB2312" w:cs="仿宋_GB2312"/>
          <w:b/>
          <w:bCs/>
          <w:color w:val="auto"/>
          <w:kern w:val="0"/>
          <w:sz w:val="32"/>
          <w:szCs w:val="32"/>
          <w:highlight w:val="none"/>
          <w:shd w:val="clear" w:color="auto" w:fill="FFFFFF"/>
          <w:lang w:val="en-US" w:eastAsia="zh-CN"/>
        </w:rPr>
      </w:pPr>
      <w:r>
        <w:rPr>
          <w:rFonts w:hint="eastAsia" w:ascii="方正仿宋简体" w:hAnsi="方正仿宋简体" w:eastAsia="方正仿宋简体" w:cs="方正仿宋简体"/>
          <w:b/>
          <w:bCs/>
          <w:sz w:val="32"/>
          <w:szCs w:val="32"/>
          <w:lang w:val="zh-CN" w:eastAsia="zh-CN"/>
        </w:rPr>
        <w:t>通过</w:t>
      </w:r>
      <w:r>
        <w:rPr>
          <w:rFonts w:hint="eastAsia" w:ascii="方正仿宋简体" w:hAnsi="方正仿宋简体" w:eastAsia="方正仿宋简体" w:cs="方正仿宋简体"/>
          <w:b/>
          <w:bCs/>
          <w:sz w:val="32"/>
          <w:szCs w:val="32"/>
          <w:lang w:val="zh-CN"/>
        </w:rPr>
        <w:t>部门整体支出</w:t>
      </w:r>
      <w:r>
        <w:rPr>
          <w:rFonts w:hint="eastAsia" w:ascii="方正仿宋简体" w:hAnsi="方正仿宋简体" w:eastAsia="方正仿宋简体" w:cs="方正仿宋简体"/>
          <w:b/>
          <w:bCs/>
          <w:sz w:val="32"/>
          <w:szCs w:val="32"/>
          <w:lang w:val="zh-CN" w:eastAsia="zh-CN"/>
        </w:rPr>
        <w:t>评价，进一步推进各个项目的进度，进一步推动财政资金的有效使用，有效提高预算资金的管理</w:t>
      </w:r>
      <w:r>
        <w:rPr>
          <w:rFonts w:hint="eastAsia" w:ascii="方正仿宋简体" w:hAnsi="方正仿宋简体" w:eastAsia="方正仿宋简体" w:cs="方正仿宋简体"/>
          <w:b/>
          <w:bCs/>
          <w:sz w:val="32"/>
          <w:szCs w:val="32"/>
          <w:lang w:val="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黑体简体" w:hAnsi="方正黑体简体" w:eastAsia="方正黑体简体" w:cs="方正黑体简体"/>
          <w:b/>
          <w:bCs/>
          <w:color w:val="auto"/>
          <w:kern w:val="0"/>
          <w:sz w:val="32"/>
          <w:szCs w:val="32"/>
          <w:highlight w:val="none"/>
          <w:shd w:val="clear" w:color="auto" w:fill="FFFFFF"/>
        </w:rPr>
      </w:pPr>
      <w:r>
        <w:rPr>
          <w:rFonts w:hint="eastAsia" w:ascii="方正黑体简体" w:hAnsi="方正黑体简体" w:eastAsia="方正黑体简体" w:cs="方正黑体简体"/>
          <w:b/>
          <w:bCs/>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highlight w:val="none"/>
          <w:shd w:val="clear" w:color="auto" w:fill="FFFFFF"/>
          <w:lang w:val="zh-CN"/>
        </w:rPr>
      </w:pPr>
      <w:r>
        <w:rPr>
          <w:rFonts w:hint="eastAsia" w:ascii="方正楷体简体" w:hAnsi="方正楷体简体" w:eastAsia="方正楷体简体" w:cs="方正楷体简体"/>
          <w:b/>
          <w:bCs/>
          <w:color w:val="auto"/>
          <w:kern w:val="0"/>
          <w:sz w:val="32"/>
          <w:szCs w:val="32"/>
          <w:highlight w:val="none"/>
          <w:shd w:val="clear" w:color="auto" w:fill="FFFFFF"/>
          <w:lang w:val="zh-CN"/>
        </w:rPr>
        <w:t>（一）评价结论</w:t>
      </w:r>
    </w:p>
    <w:p>
      <w:pPr>
        <w:pageBreakBefore w:val="0"/>
        <w:kinsoku/>
        <w:wordWrap/>
        <w:overflowPunct/>
        <w:topLinePunct w:val="0"/>
        <w:bidi w:val="0"/>
        <w:spacing w:line="578" w:lineRule="exact"/>
        <w:ind w:firstLine="643" w:firstLineChars="200"/>
        <w:textAlignment w:val="auto"/>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zh-CN" w:eastAsia="zh-CN"/>
        </w:rPr>
        <w:t>在预算编制方面，我馆认真做好了</w:t>
      </w:r>
      <w:r>
        <w:rPr>
          <w:rFonts w:hint="eastAsia" w:ascii="Times New Roman" w:hAnsi="Times New Roman" w:eastAsia="方正仿宋简体" w:cs="Times New Roman"/>
          <w:b/>
          <w:bCs/>
          <w:color w:val="auto"/>
          <w:kern w:val="0"/>
          <w:sz w:val="32"/>
          <w:szCs w:val="32"/>
          <w:highlight w:val="none"/>
          <w:shd w:val="clear" w:color="auto" w:fill="FFFFFF"/>
          <w:lang w:val="en-US" w:eastAsia="zh-CN"/>
        </w:rPr>
        <w:t>202</w:t>
      </w:r>
      <w:r>
        <w:rPr>
          <w:rFonts w:hint="eastAsia" w:eastAsia="方正仿宋简体" w:cs="Times New Roman"/>
          <w:b/>
          <w:bCs/>
          <w:color w:val="auto"/>
          <w:kern w:val="0"/>
          <w:sz w:val="32"/>
          <w:szCs w:val="32"/>
          <w:highlight w:val="none"/>
          <w:shd w:val="clear" w:color="auto" w:fill="FFFFFF"/>
          <w:lang w:val="en-US" w:eastAsia="zh-CN"/>
        </w:rPr>
        <w:t>2年度预算的编制工作，做到了应编尽编。</w:t>
      </w:r>
      <w:r>
        <w:rPr>
          <w:rFonts w:eastAsia="方正仿宋简体"/>
          <w:b/>
          <w:bCs/>
          <w:sz w:val="32"/>
          <w:szCs w:val="32"/>
        </w:rPr>
        <w:t>在资金使用和管理方面，进一步强化</w:t>
      </w:r>
      <w:r>
        <w:rPr>
          <w:rFonts w:hint="eastAsia" w:eastAsia="方正仿宋简体"/>
          <w:b/>
          <w:bCs/>
          <w:sz w:val="32"/>
          <w:szCs w:val="32"/>
          <w:lang w:eastAsia="zh-CN"/>
        </w:rPr>
        <w:t>了</w:t>
      </w:r>
      <w:r>
        <w:rPr>
          <w:rFonts w:eastAsia="方正仿宋简体"/>
          <w:b/>
          <w:bCs/>
          <w:sz w:val="32"/>
          <w:szCs w:val="32"/>
        </w:rPr>
        <w:t>资金统筹，优化资金结构，明确开支范围，细化资金用途，确保部门职责任务顺利完成。全年基本支出保证了部门的正常运行和日常工作的正常开展；全年项目支出达到</w:t>
      </w:r>
      <w:r>
        <w:rPr>
          <w:rFonts w:hint="eastAsia" w:eastAsia="方正仿宋简体"/>
          <w:b/>
          <w:bCs/>
          <w:sz w:val="32"/>
          <w:szCs w:val="32"/>
          <w:lang w:eastAsia="zh-CN"/>
        </w:rPr>
        <w:t>了</w:t>
      </w:r>
      <w:r>
        <w:rPr>
          <w:rFonts w:eastAsia="方正仿宋简体"/>
          <w:b/>
          <w:bCs/>
          <w:sz w:val="32"/>
          <w:szCs w:val="32"/>
        </w:rPr>
        <w:t>预期绩效目标。</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highlight w:val="none"/>
          <w:shd w:val="clear" w:color="auto" w:fill="FFFFFF"/>
          <w:lang w:val="zh-CN"/>
        </w:rPr>
      </w:pPr>
      <w:r>
        <w:rPr>
          <w:rFonts w:hint="eastAsia" w:ascii="方正楷体简体" w:hAnsi="方正楷体简体" w:eastAsia="方正楷体简体" w:cs="方正楷体简体"/>
          <w:b/>
          <w:bCs/>
          <w:color w:val="auto"/>
          <w:kern w:val="0"/>
          <w:sz w:val="32"/>
          <w:szCs w:val="32"/>
          <w:highlight w:val="none"/>
          <w:shd w:val="clear" w:color="auto" w:fill="FFFFFF"/>
          <w:lang w:val="zh-CN"/>
        </w:rPr>
        <w:t>（二）存在问题</w:t>
      </w:r>
    </w:p>
    <w:p>
      <w:pPr>
        <w:pageBreakBefore w:val="0"/>
        <w:kinsoku/>
        <w:wordWrap/>
        <w:overflowPunct/>
        <w:topLinePunct w:val="0"/>
        <w:bidi w:val="0"/>
        <w:spacing w:line="578" w:lineRule="exact"/>
        <w:ind w:firstLine="643" w:firstLineChars="200"/>
        <w:textAlignment w:val="auto"/>
        <w:rPr>
          <w:rFonts w:hint="eastAsia" w:ascii="方正仿宋简体" w:hAnsi="方正仿宋简体" w:eastAsia="方正仿宋简体" w:cs="方正仿宋简体"/>
          <w:b/>
          <w:bCs/>
          <w:sz w:val="32"/>
          <w:szCs w:val="32"/>
          <w:lang w:val="zh-CN" w:eastAsia="zh-CN"/>
        </w:rPr>
      </w:pPr>
      <w:r>
        <w:rPr>
          <w:rFonts w:hint="eastAsia" w:ascii="方正仿宋简体" w:hAnsi="方正仿宋简体" w:eastAsia="方正仿宋简体" w:cs="方正仿宋简体"/>
          <w:b/>
          <w:bCs/>
          <w:sz w:val="32"/>
          <w:szCs w:val="32"/>
          <w:lang w:val="zh-CN" w:eastAsia="zh-CN"/>
        </w:rPr>
        <w:t>一是绩效管理体系不够完善。预算与绩效管理一体化的程度有待提高,绩效指标设置不够全面，绩效指标的产出指标不能反映财政预算资金计划在一定期限内达到的产出；二是绩效约束能力不强。评价结果与预算安排还需要进一步衔接和优化，促进预算管理的作用尚未充分体现等，需要在今后的工作中着力予以解决。</w:t>
      </w:r>
    </w:p>
    <w:p>
      <w:pPr>
        <w:keepNext w:val="0"/>
        <w:keepLines w:val="0"/>
        <w:pageBreakBefore w:val="0"/>
        <w:widowControl/>
        <w:numPr>
          <w:ilvl w:val="0"/>
          <w:numId w:val="7"/>
        </w:numPr>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highlight w:val="none"/>
          <w:shd w:val="clear" w:color="auto" w:fill="FFFFFF"/>
          <w:lang w:val="zh-CN"/>
        </w:rPr>
      </w:pPr>
      <w:r>
        <w:rPr>
          <w:rFonts w:hint="eastAsia" w:ascii="方正楷体简体" w:hAnsi="方正楷体简体" w:eastAsia="方正楷体简体" w:cs="方正楷体简体"/>
          <w:b/>
          <w:bCs/>
          <w:color w:val="auto"/>
          <w:kern w:val="0"/>
          <w:sz w:val="32"/>
          <w:szCs w:val="32"/>
          <w:highlight w:val="none"/>
          <w:shd w:val="clear" w:color="auto" w:fill="FFFFFF"/>
          <w:lang w:val="zh-CN"/>
        </w:rPr>
        <w:t>改进建议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firstLine="643" w:firstLineChars="200"/>
        <w:jc w:val="both"/>
        <w:textAlignment w:val="auto"/>
        <w:outlineLvl w:val="9"/>
        <w:rPr>
          <w:rFonts w:hint="eastAsia" w:ascii="方正楷体简体" w:hAnsi="方正楷体简体" w:eastAsia="方正楷体简体" w:cs="方正楷体简体"/>
          <w:b/>
          <w:bCs/>
          <w:color w:val="auto"/>
          <w:kern w:val="0"/>
          <w:sz w:val="32"/>
          <w:szCs w:val="32"/>
          <w:highlight w:val="none"/>
          <w:shd w:val="clear" w:color="auto" w:fill="FFFFFF"/>
          <w:lang w:val="zh-CN"/>
        </w:rPr>
      </w:pPr>
      <w:r>
        <w:rPr>
          <w:rFonts w:hint="default" w:ascii="方正仿宋简体" w:hAnsi="方正仿宋简体" w:eastAsia="方正仿宋简体" w:cs="方正仿宋简体"/>
          <w:b/>
          <w:bCs/>
          <w:kern w:val="2"/>
          <w:sz w:val="32"/>
          <w:szCs w:val="32"/>
          <w:lang w:val="en-US" w:eastAsia="zh-CN" w:bidi="ar-SA"/>
        </w:rPr>
        <w:t>一是强化沟通学习，规范财务管理。积极与财政部门负责绩效管理的股室沟通交流，不断加强绩效管理工作的业务学习，不断改进会计工作，提高核算业务能力及财务管理水平，确保会计基础工作的规范优质。二是强化体系建设，提高绩效水平。强化部门绩效管理体系建设，及时、科学、合理设置部门绩效目标，细化、量化绩效目标，落实绩效管理，提高绩效考核水平。</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Times New Roman" w:hAnsi="Times New Roman" w:eastAsia="方正仿宋简体" w:cs="Times New Roman"/>
          <w:b/>
          <w:bCs/>
          <w:color w:val="auto"/>
          <w:kern w:val="0"/>
          <w:sz w:val="32"/>
          <w:szCs w:val="32"/>
          <w:highlight w:val="none"/>
          <w:shd w:val="clear" w:color="auto" w:fill="FFFFFF"/>
          <w:lang w:val="en-US" w:eastAsia="zh-CN"/>
        </w:rPr>
      </w:pPr>
      <w:r>
        <w:rPr>
          <w:rFonts w:hint="eastAsia" w:ascii="Times New Roman" w:hAnsi="Times New Roman" w:eastAsia="方正仿宋简体" w:cs="Times New Roman"/>
          <w:b/>
          <w:bCs/>
          <w:color w:val="auto"/>
          <w:kern w:val="0"/>
          <w:sz w:val="32"/>
          <w:szCs w:val="32"/>
          <w:highlight w:val="none"/>
          <w:shd w:val="clear" w:color="auto" w:fill="FFFFFF"/>
          <w:lang w:val="zh-CN" w:eastAsia="zh-CN"/>
        </w:rPr>
        <w:t>附表：</w:t>
      </w:r>
      <w:r>
        <w:rPr>
          <w:rFonts w:hint="eastAsia" w:ascii="Times New Roman" w:hAnsi="Times New Roman" w:eastAsia="方正仿宋简体" w:cs="Times New Roman"/>
          <w:b/>
          <w:bCs/>
          <w:color w:val="auto"/>
          <w:kern w:val="0"/>
          <w:sz w:val="32"/>
          <w:szCs w:val="32"/>
          <w:highlight w:val="none"/>
          <w:shd w:val="clear" w:color="auto" w:fill="FFFFFF"/>
          <w:lang w:val="en-US" w:eastAsia="zh-CN"/>
        </w:rPr>
        <w:t>部门预算项目支出绩效自评表（2022年度）</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Times New Roman" w:hAnsi="Times New Roman" w:eastAsia="方正仿宋简体" w:cs="Times New Roman"/>
          <w:b/>
          <w:bCs/>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Times New Roman" w:hAnsi="Times New Roman" w:eastAsia="方正仿宋简体" w:cs="Times New Roman"/>
          <w:b/>
          <w:bCs/>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Times New Roman" w:hAnsi="Times New Roman" w:eastAsia="方正仿宋简体" w:cs="Times New Roman"/>
          <w:b/>
          <w:bCs/>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Times New Roman" w:hAnsi="Times New Roman" w:eastAsia="方正仿宋简体" w:cs="Times New Roman"/>
          <w:b/>
          <w:bCs/>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Times New Roman" w:hAnsi="Times New Roman" w:eastAsia="方正仿宋简体" w:cs="Times New Roman"/>
          <w:b/>
          <w:bCs/>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Times New Roman" w:hAnsi="Times New Roman" w:eastAsia="方正仿宋简体" w:cs="Times New Roman"/>
          <w:b/>
          <w:bCs/>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Times New Roman" w:hAnsi="Times New Roman" w:eastAsia="方正仿宋简体" w:cs="Times New Roman"/>
          <w:b/>
          <w:bCs/>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Times New Roman" w:hAnsi="Times New Roman" w:eastAsia="方正仿宋简体" w:cs="Times New Roman"/>
          <w:b/>
          <w:bCs/>
          <w:color w:val="auto"/>
          <w:kern w:val="0"/>
          <w:sz w:val="32"/>
          <w:szCs w:val="32"/>
          <w:highlight w:val="none"/>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Times New Roman" w:hAnsi="Times New Roman" w:eastAsia="方正仿宋简体" w:cs="Times New Roman"/>
          <w:b/>
          <w:bCs/>
          <w:color w:val="auto"/>
          <w:kern w:val="0"/>
          <w:sz w:val="32"/>
          <w:szCs w:val="32"/>
          <w:highlight w:val="none"/>
          <w:shd w:val="clear" w:color="auto" w:fill="FFFFFF"/>
          <w:lang w:val="en-US" w:eastAsia="zh-CN"/>
        </w:rPr>
        <w:sectPr>
          <w:footerReference r:id="rId5" w:type="first"/>
          <w:headerReference r:id="rId3" w:type="default"/>
          <w:footerReference r:id="rId4" w:type="default"/>
          <w:pgSz w:w="11906" w:h="16838"/>
          <w:pgMar w:top="1440" w:right="1803" w:bottom="1440" w:left="1803" w:header="851" w:footer="992" w:gutter="0"/>
          <w:pgNumType w:fmt="decimal"/>
          <w:cols w:space="0" w:num="1"/>
          <w:titlePg/>
          <w:rtlGutter w:val="0"/>
          <w:docGrid w:type="lines" w:linePitch="319" w:charSpace="0"/>
        </w:sectPr>
      </w:pP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Times New Roman" w:hAnsi="Times New Roman" w:eastAsia="方正仿宋简体" w:cs="Times New Roman"/>
          <w:b/>
          <w:bCs/>
          <w:color w:val="auto"/>
          <w:kern w:val="0"/>
          <w:sz w:val="32"/>
          <w:szCs w:val="32"/>
          <w:highlight w:val="none"/>
          <w:shd w:val="clear" w:color="auto" w:fill="FFFFFF"/>
          <w:lang w:val="en-US" w:eastAsia="zh-CN"/>
        </w:rP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7449820" cy="4538980"/>
            <wp:effectExtent l="0" t="0" r="17780" b="1397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9"/>
                    <a:stretch>
                      <a:fillRect/>
                    </a:stretch>
                  </pic:blipFill>
                  <pic:spPr>
                    <a:xfrm>
                      <a:off x="0" y="0"/>
                      <a:ext cx="7449820" cy="4538980"/>
                    </a:xfrm>
                    <a:prstGeom prst="rect">
                      <a:avLst/>
                    </a:prstGeom>
                    <a:noFill/>
                    <a:ln w="9525">
                      <a:noFill/>
                    </a:ln>
                  </pic:spPr>
                </pic:pic>
              </a:graphicData>
            </a:graphic>
          </wp:inline>
        </w:drawing>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8176895" cy="5114925"/>
            <wp:effectExtent l="0" t="0" r="14605"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10"/>
                    <a:stretch>
                      <a:fillRect/>
                    </a:stretch>
                  </pic:blipFill>
                  <pic:spPr>
                    <a:xfrm>
                      <a:off x="0" y="0"/>
                      <a:ext cx="8176895" cy="5114925"/>
                    </a:xfrm>
                    <a:prstGeom prst="rect">
                      <a:avLst/>
                    </a:prstGeom>
                    <a:noFill/>
                    <a:ln w="9525">
                      <a:noFill/>
                    </a:ln>
                  </pic:spPr>
                </pic:pic>
              </a:graphicData>
            </a:graphic>
          </wp:inline>
        </w:drawing>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8304530" cy="5201920"/>
            <wp:effectExtent l="0" t="0" r="1270" b="17780"/>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11"/>
                    <a:stretch>
                      <a:fillRect/>
                    </a:stretch>
                  </pic:blipFill>
                  <pic:spPr>
                    <a:xfrm>
                      <a:off x="0" y="0"/>
                      <a:ext cx="8304530" cy="5201920"/>
                    </a:xfrm>
                    <a:prstGeom prst="rect">
                      <a:avLst/>
                    </a:prstGeom>
                    <a:noFill/>
                    <a:ln w="9525">
                      <a:noFill/>
                    </a:ln>
                  </pic:spPr>
                </pic:pic>
              </a:graphicData>
            </a:graphic>
          </wp:inline>
        </w:drawing>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8271510" cy="5153660"/>
            <wp:effectExtent l="0" t="0" r="15240" b="8890"/>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12"/>
                    <a:stretch>
                      <a:fillRect/>
                    </a:stretch>
                  </pic:blipFill>
                  <pic:spPr>
                    <a:xfrm>
                      <a:off x="0" y="0"/>
                      <a:ext cx="8271510" cy="5153660"/>
                    </a:xfrm>
                    <a:prstGeom prst="rect">
                      <a:avLst/>
                    </a:prstGeom>
                    <a:noFill/>
                    <a:ln w="9525">
                      <a:noFill/>
                    </a:ln>
                  </pic:spPr>
                </pic:pic>
              </a:graphicData>
            </a:graphic>
          </wp:inline>
        </w:drawing>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7955915" cy="5154295"/>
            <wp:effectExtent l="0" t="0" r="6985" b="8255"/>
            <wp:docPr id="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6"/>
                    <pic:cNvPicPr>
                      <a:picLocks noChangeAspect="1"/>
                    </pic:cNvPicPr>
                  </pic:nvPicPr>
                  <pic:blipFill>
                    <a:blip r:embed="rId13"/>
                    <a:stretch>
                      <a:fillRect/>
                    </a:stretch>
                  </pic:blipFill>
                  <pic:spPr>
                    <a:xfrm>
                      <a:off x="0" y="0"/>
                      <a:ext cx="7955915" cy="5154295"/>
                    </a:xfrm>
                    <a:prstGeom prst="rect">
                      <a:avLst/>
                    </a:prstGeom>
                    <a:noFill/>
                    <a:ln w="9525">
                      <a:noFill/>
                    </a:ln>
                  </pic:spPr>
                </pic:pic>
              </a:graphicData>
            </a:graphic>
          </wp:inline>
        </w:drawing>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7992110" cy="5203825"/>
            <wp:effectExtent l="0" t="0" r="8890" b="15875"/>
            <wp:docPr id="8"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56"/>
                    <pic:cNvPicPr>
                      <a:picLocks noChangeAspect="1"/>
                    </pic:cNvPicPr>
                  </pic:nvPicPr>
                  <pic:blipFill>
                    <a:blip r:embed="rId14"/>
                    <a:stretch>
                      <a:fillRect/>
                    </a:stretch>
                  </pic:blipFill>
                  <pic:spPr>
                    <a:xfrm>
                      <a:off x="0" y="0"/>
                      <a:ext cx="7992110" cy="5203825"/>
                    </a:xfrm>
                    <a:prstGeom prst="rect">
                      <a:avLst/>
                    </a:prstGeom>
                    <a:noFill/>
                    <a:ln w="9525">
                      <a:noFill/>
                    </a:ln>
                  </pic:spPr>
                </pic:pic>
              </a:graphicData>
            </a:graphic>
          </wp:inline>
        </w:drawing>
      </w:r>
    </w:p>
    <w:p>
      <w:pPr>
        <w:keepNext w:val="0"/>
        <w:keepLines w:val="0"/>
        <w:widowControl/>
        <w:suppressLineNumbers w:val="0"/>
        <w:jc w:val="center"/>
        <w:rPr>
          <w:rFonts w:ascii="宋体" w:hAnsi="宋体" w:eastAsia="宋体" w:cs="宋体"/>
          <w:kern w:val="0"/>
          <w:sz w:val="24"/>
          <w:szCs w:val="24"/>
          <w:lang w:val="en-US" w:eastAsia="zh-CN" w:bidi="ar"/>
        </w:rPr>
        <w:sectPr>
          <w:pgSz w:w="16838" w:h="11906" w:orient="landscape"/>
          <w:pgMar w:top="1803" w:right="1440" w:bottom="1803" w:left="1440" w:header="851" w:footer="992" w:gutter="0"/>
          <w:pgNumType w:fmt="decimal"/>
          <w:cols w:space="0" w:num="1"/>
          <w:titlePg/>
          <w:rtlGutter w:val="0"/>
          <w:docGrid w:type="lines" w:linePitch="319" w:charSpace="0"/>
        </w:sectP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8093075" cy="5201920"/>
            <wp:effectExtent l="0" t="0" r="3175" b="17780"/>
            <wp:docPr id="9"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56"/>
                    <pic:cNvPicPr>
                      <a:picLocks noChangeAspect="1"/>
                    </pic:cNvPicPr>
                  </pic:nvPicPr>
                  <pic:blipFill>
                    <a:blip r:embed="rId15"/>
                    <a:stretch>
                      <a:fillRect/>
                    </a:stretch>
                  </pic:blipFill>
                  <pic:spPr>
                    <a:xfrm>
                      <a:off x="0" y="0"/>
                      <a:ext cx="8093075" cy="5201920"/>
                    </a:xfrm>
                    <a:prstGeom prst="rect">
                      <a:avLst/>
                    </a:prstGeom>
                    <a:noFill/>
                    <a:ln w="9525">
                      <a:noFill/>
                    </a:ln>
                  </pic:spPr>
                </pic:pic>
              </a:graphicData>
            </a:graphic>
          </wp:inline>
        </w:drawing>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7458075" cy="4940300"/>
            <wp:effectExtent l="0" t="0" r="9525" b="12700"/>
            <wp:docPr id="10"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56"/>
                    <pic:cNvPicPr>
                      <a:picLocks noChangeAspect="1"/>
                    </pic:cNvPicPr>
                  </pic:nvPicPr>
                  <pic:blipFill>
                    <a:blip r:embed="rId16"/>
                    <a:stretch>
                      <a:fillRect/>
                    </a:stretch>
                  </pic:blipFill>
                  <pic:spPr>
                    <a:xfrm>
                      <a:off x="0" y="0"/>
                      <a:ext cx="7458075" cy="494030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Times New Roman" w:hAnsi="Times New Roman" w:eastAsia="方正仿宋简体" w:cs="Times New Roman"/>
          <w:b/>
          <w:bCs/>
          <w:color w:val="auto"/>
          <w:kern w:val="0"/>
          <w:sz w:val="32"/>
          <w:szCs w:val="32"/>
          <w:highlight w:val="none"/>
          <w:shd w:val="clear" w:color="auto" w:fill="FFFFFF"/>
          <w:lang w:val="zh-CN" w:eastAsia="zh-CN"/>
        </w:rPr>
        <w:sectPr>
          <w:footerReference r:id="rId7" w:type="first"/>
          <w:footerReference r:id="rId6" w:type="default"/>
          <w:pgSz w:w="16838" w:h="11906" w:orient="landscape"/>
          <w:pgMar w:top="1803" w:right="1440" w:bottom="1803" w:left="1440" w:header="851" w:footer="992" w:gutter="0"/>
          <w:pgNumType w:fmt="decimal"/>
          <w:cols w:space="0" w:num="1"/>
          <w:titlePg/>
          <w:rtlGutter w:val="0"/>
          <w:docGrid w:type="lines" w:linePitch="319" w:charSpace="0"/>
        </w:sectPr>
      </w:pPr>
    </w:p>
    <w:p>
      <w:pPr>
        <w:pageBreakBefore w:val="0"/>
        <w:numPr>
          <w:ilvl w:val="0"/>
          <w:numId w:val="3"/>
        </w:numPr>
        <w:kinsoku/>
        <w:wordWrap/>
        <w:overflowPunct/>
        <w:topLinePunct w:val="0"/>
        <w:bidi w:val="0"/>
        <w:spacing w:line="578" w:lineRule="exact"/>
        <w:ind w:left="0" w:leftChars="0" w:firstLine="663" w:firstLineChars="150"/>
        <w:jc w:val="center"/>
        <w:textAlignment w:val="auto"/>
        <w:outlineLvl w:val="0"/>
        <w:rPr>
          <w:rStyle w:val="28"/>
          <w:rFonts w:hint="eastAsia" w:ascii="方正小标宋简体" w:hAnsi="方正小标宋简体" w:eastAsia="方正小标宋简体" w:cs="方正小标宋简体"/>
          <w:b/>
          <w:bCs w:val="0"/>
          <w:color w:val="auto"/>
          <w:highlight w:val="none"/>
        </w:rPr>
      </w:pPr>
      <w:bookmarkStart w:id="55" w:name="_Toc15396618"/>
      <w:r>
        <w:rPr>
          <w:rStyle w:val="28"/>
          <w:rFonts w:hint="eastAsia" w:ascii="方正小标宋简体" w:hAnsi="方正小标宋简体" w:eastAsia="方正小标宋简体" w:cs="方正小标宋简体"/>
          <w:b/>
          <w:bCs w:val="0"/>
          <w:color w:val="auto"/>
          <w:highlight w:val="none"/>
        </w:rPr>
        <w:t>附表</w:t>
      </w:r>
      <w:bookmarkEnd w:id="53"/>
      <w:bookmarkEnd w:id="55"/>
      <w:bookmarkStart w:id="56" w:name="_Toc15396619"/>
    </w:p>
    <w:p>
      <w:pPr>
        <w:pageBreakBefore w:val="0"/>
        <w:numPr>
          <w:ilvl w:val="0"/>
          <w:numId w:val="0"/>
        </w:numPr>
        <w:kinsoku/>
        <w:wordWrap/>
        <w:overflowPunct/>
        <w:topLinePunct w:val="0"/>
        <w:bidi w:val="0"/>
        <w:spacing w:line="578" w:lineRule="exact"/>
        <w:ind w:leftChars="150"/>
        <w:jc w:val="both"/>
        <w:textAlignment w:val="auto"/>
        <w:outlineLvl w:val="0"/>
        <w:rPr>
          <w:rStyle w:val="28"/>
          <w:rFonts w:hint="eastAsia" w:ascii="黑体" w:hAnsi="黑体" w:eastAsia="黑体"/>
          <w:b w:val="0"/>
          <w:color w:val="auto"/>
          <w:highlight w:val="none"/>
        </w:rPr>
      </w:pPr>
    </w:p>
    <w:p>
      <w:pPr>
        <w:pStyle w:val="3"/>
        <w:pageBreakBefore w:val="0"/>
        <w:kinsoku/>
        <w:wordWrap/>
        <w:overflowPunct/>
        <w:topLinePunct w:val="0"/>
        <w:bidi w:val="0"/>
        <w:spacing w:before="0" w:after="0" w:line="578" w:lineRule="exact"/>
        <w:textAlignment w:val="auto"/>
        <w:rPr>
          <w:rFonts w:hint="eastAsia" w:ascii="方正仿宋简体" w:hAnsi="方正仿宋简体" w:eastAsia="方正仿宋简体" w:cs="方正仿宋简体"/>
          <w:b/>
          <w:bCs w:val="0"/>
          <w:color w:val="auto"/>
          <w:highlight w:val="none"/>
        </w:rPr>
      </w:pPr>
      <w:r>
        <w:rPr>
          <w:rFonts w:hint="eastAsia" w:ascii="方正仿宋简体" w:hAnsi="方正仿宋简体" w:eastAsia="方正仿宋简体" w:cs="方正仿宋简体"/>
          <w:b/>
          <w:bCs w:val="0"/>
          <w:color w:val="auto"/>
          <w:highlight w:val="none"/>
        </w:rPr>
        <w:t>一、收</w:t>
      </w:r>
      <w:r>
        <w:rPr>
          <w:rStyle w:val="29"/>
          <w:rFonts w:hint="eastAsia" w:ascii="方正仿宋简体" w:hAnsi="方正仿宋简体" w:eastAsia="方正仿宋简体" w:cs="方正仿宋简体"/>
          <w:b/>
          <w:bCs w:val="0"/>
          <w:color w:val="auto"/>
          <w:highlight w:val="none"/>
        </w:rPr>
        <w:t>入支出决算总表</w:t>
      </w:r>
      <w:bookmarkEnd w:id="56"/>
    </w:p>
    <w:p>
      <w:pPr>
        <w:pStyle w:val="3"/>
        <w:pageBreakBefore w:val="0"/>
        <w:kinsoku/>
        <w:wordWrap/>
        <w:overflowPunct/>
        <w:topLinePunct w:val="0"/>
        <w:bidi w:val="0"/>
        <w:spacing w:before="0" w:after="0" w:line="578" w:lineRule="exact"/>
        <w:textAlignment w:val="auto"/>
        <w:rPr>
          <w:rFonts w:hint="eastAsia" w:ascii="方正仿宋简体" w:hAnsi="方正仿宋简体" w:eastAsia="方正仿宋简体" w:cs="方正仿宋简体"/>
          <w:b/>
          <w:bCs w:val="0"/>
          <w:color w:val="auto"/>
          <w:highlight w:val="none"/>
        </w:rPr>
      </w:pPr>
      <w:bookmarkStart w:id="57" w:name="_Toc15396620"/>
      <w:r>
        <w:rPr>
          <w:rFonts w:hint="eastAsia" w:ascii="方正仿宋简体" w:hAnsi="方正仿宋简体" w:eastAsia="方正仿宋简体" w:cs="方正仿宋简体"/>
          <w:b/>
          <w:bCs w:val="0"/>
          <w:color w:val="auto"/>
          <w:highlight w:val="none"/>
        </w:rPr>
        <w:t>二、收</w:t>
      </w:r>
      <w:r>
        <w:rPr>
          <w:rStyle w:val="29"/>
          <w:rFonts w:hint="eastAsia" w:ascii="方正仿宋简体" w:hAnsi="方正仿宋简体" w:eastAsia="方正仿宋简体" w:cs="方正仿宋简体"/>
          <w:b/>
          <w:bCs w:val="0"/>
          <w:color w:val="auto"/>
          <w:highlight w:val="none"/>
        </w:rPr>
        <w:t>入决算表</w:t>
      </w:r>
      <w:bookmarkEnd w:id="57"/>
    </w:p>
    <w:p>
      <w:pPr>
        <w:pStyle w:val="3"/>
        <w:pageBreakBefore w:val="0"/>
        <w:kinsoku/>
        <w:wordWrap/>
        <w:overflowPunct/>
        <w:topLinePunct w:val="0"/>
        <w:bidi w:val="0"/>
        <w:spacing w:before="0" w:after="0" w:line="578" w:lineRule="exact"/>
        <w:textAlignment w:val="auto"/>
        <w:rPr>
          <w:rFonts w:hint="eastAsia" w:ascii="方正仿宋简体" w:hAnsi="方正仿宋简体" w:eastAsia="方正仿宋简体" w:cs="方正仿宋简体"/>
          <w:b/>
          <w:bCs w:val="0"/>
          <w:color w:val="auto"/>
          <w:highlight w:val="none"/>
        </w:rPr>
      </w:pPr>
      <w:bookmarkStart w:id="58" w:name="_Toc15396621"/>
      <w:r>
        <w:rPr>
          <w:rStyle w:val="29"/>
          <w:rFonts w:hint="eastAsia" w:ascii="方正仿宋简体" w:hAnsi="方正仿宋简体" w:eastAsia="方正仿宋简体" w:cs="方正仿宋简体"/>
          <w:b/>
          <w:bCs w:val="0"/>
          <w:color w:val="auto"/>
          <w:highlight w:val="none"/>
        </w:rPr>
        <w:t>三、</w:t>
      </w:r>
      <w:r>
        <w:rPr>
          <w:rFonts w:hint="eastAsia" w:ascii="方正仿宋简体" w:hAnsi="方正仿宋简体" w:eastAsia="方正仿宋简体" w:cs="方正仿宋简体"/>
          <w:b/>
          <w:bCs w:val="0"/>
          <w:color w:val="auto"/>
          <w:highlight w:val="none"/>
        </w:rPr>
        <w:t>支</w:t>
      </w:r>
      <w:r>
        <w:rPr>
          <w:rStyle w:val="29"/>
          <w:rFonts w:hint="eastAsia" w:ascii="方正仿宋简体" w:hAnsi="方正仿宋简体" w:eastAsia="方正仿宋简体" w:cs="方正仿宋简体"/>
          <w:b/>
          <w:bCs w:val="0"/>
          <w:color w:val="auto"/>
          <w:highlight w:val="none"/>
        </w:rPr>
        <w:t>出决算表</w:t>
      </w:r>
      <w:bookmarkEnd w:id="58"/>
    </w:p>
    <w:p>
      <w:pPr>
        <w:pStyle w:val="3"/>
        <w:pageBreakBefore w:val="0"/>
        <w:kinsoku/>
        <w:wordWrap/>
        <w:overflowPunct/>
        <w:topLinePunct w:val="0"/>
        <w:bidi w:val="0"/>
        <w:spacing w:before="0" w:after="0" w:line="578" w:lineRule="exact"/>
        <w:textAlignment w:val="auto"/>
        <w:rPr>
          <w:rFonts w:hint="eastAsia" w:ascii="方正仿宋简体" w:hAnsi="方正仿宋简体" w:eastAsia="方正仿宋简体" w:cs="方正仿宋简体"/>
          <w:b/>
          <w:bCs w:val="0"/>
          <w:color w:val="auto"/>
          <w:sz w:val="44"/>
          <w:szCs w:val="44"/>
          <w:highlight w:val="none"/>
        </w:rPr>
      </w:pPr>
      <w:bookmarkStart w:id="59" w:name="_Toc15396622"/>
      <w:r>
        <w:rPr>
          <w:rStyle w:val="29"/>
          <w:rFonts w:hint="eastAsia" w:ascii="方正仿宋简体" w:hAnsi="方正仿宋简体" w:eastAsia="方正仿宋简体" w:cs="方正仿宋简体"/>
          <w:b/>
          <w:bCs w:val="0"/>
          <w:color w:val="auto"/>
          <w:highlight w:val="none"/>
        </w:rPr>
        <w:t>四、</w:t>
      </w:r>
      <w:r>
        <w:rPr>
          <w:rFonts w:hint="eastAsia" w:ascii="方正仿宋简体" w:hAnsi="方正仿宋简体" w:eastAsia="方正仿宋简体" w:cs="方正仿宋简体"/>
          <w:b/>
          <w:bCs w:val="0"/>
          <w:color w:val="auto"/>
          <w:highlight w:val="none"/>
        </w:rPr>
        <w:t>财</w:t>
      </w:r>
      <w:r>
        <w:rPr>
          <w:rStyle w:val="29"/>
          <w:rFonts w:hint="eastAsia" w:ascii="方正仿宋简体" w:hAnsi="方正仿宋简体" w:eastAsia="方正仿宋简体" w:cs="方正仿宋简体"/>
          <w:b/>
          <w:bCs w:val="0"/>
          <w:color w:val="auto"/>
          <w:highlight w:val="none"/>
        </w:rPr>
        <w:t>政拨款收入支出决算总表</w:t>
      </w:r>
      <w:bookmarkEnd w:id="59"/>
    </w:p>
    <w:p>
      <w:pPr>
        <w:pStyle w:val="3"/>
        <w:pageBreakBefore w:val="0"/>
        <w:kinsoku/>
        <w:wordWrap/>
        <w:overflowPunct/>
        <w:topLinePunct w:val="0"/>
        <w:bidi w:val="0"/>
        <w:spacing w:before="0" w:after="0" w:line="578" w:lineRule="exact"/>
        <w:textAlignment w:val="auto"/>
        <w:rPr>
          <w:rStyle w:val="29"/>
          <w:rFonts w:hint="eastAsia" w:ascii="方正仿宋简体" w:hAnsi="方正仿宋简体" w:eastAsia="方正仿宋简体" w:cs="方正仿宋简体"/>
          <w:b/>
          <w:bCs w:val="0"/>
          <w:color w:val="auto"/>
          <w:highlight w:val="none"/>
        </w:rPr>
      </w:pPr>
      <w:bookmarkStart w:id="60" w:name="_Toc15396623"/>
      <w:r>
        <w:rPr>
          <w:rStyle w:val="29"/>
          <w:rFonts w:hint="eastAsia" w:ascii="方正仿宋简体" w:hAnsi="方正仿宋简体" w:eastAsia="方正仿宋简体" w:cs="方正仿宋简体"/>
          <w:b/>
          <w:bCs w:val="0"/>
          <w:color w:val="auto"/>
          <w:highlight w:val="none"/>
        </w:rPr>
        <w:t>五、</w:t>
      </w:r>
      <w:r>
        <w:rPr>
          <w:rFonts w:hint="eastAsia" w:ascii="方正仿宋简体" w:hAnsi="方正仿宋简体" w:eastAsia="方正仿宋简体" w:cs="方正仿宋简体"/>
          <w:b/>
          <w:bCs w:val="0"/>
          <w:color w:val="auto"/>
          <w:highlight w:val="none"/>
        </w:rPr>
        <w:t>财</w:t>
      </w:r>
      <w:r>
        <w:rPr>
          <w:rStyle w:val="29"/>
          <w:rFonts w:hint="eastAsia" w:ascii="方正仿宋简体" w:hAnsi="方正仿宋简体" w:eastAsia="方正仿宋简体" w:cs="方正仿宋简体"/>
          <w:b/>
          <w:bCs w:val="0"/>
          <w:color w:val="auto"/>
          <w:highlight w:val="none"/>
        </w:rPr>
        <w:t>政拨款支出决算明细表</w:t>
      </w:r>
      <w:bookmarkEnd w:id="60"/>
      <w:bookmarkStart w:id="61" w:name="_Toc15396624"/>
    </w:p>
    <w:p>
      <w:pPr>
        <w:pStyle w:val="3"/>
        <w:pageBreakBefore w:val="0"/>
        <w:kinsoku/>
        <w:wordWrap/>
        <w:overflowPunct/>
        <w:topLinePunct w:val="0"/>
        <w:bidi w:val="0"/>
        <w:spacing w:before="0" w:after="0" w:line="578" w:lineRule="exact"/>
        <w:textAlignment w:val="auto"/>
        <w:rPr>
          <w:rFonts w:hint="eastAsia" w:ascii="方正仿宋简体" w:hAnsi="方正仿宋简体" w:eastAsia="方正仿宋简体" w:cs="方正仿宋简体"/>
          <w:b/>
          <w:bCs w:val="0"/>
          <w:color w:val="auto"/>
          <w:highlight w:val="none"/>
        </w:rPr>
      </w:pPr>
      <w:r>
        <w:rPr>
          <w:rStyle w:val="29"/>
          <w:rFonts w:hint="eastAsia" w:ascii="方正仿宋简体" w:hAnsi="方正仿宋简体" w:eastAsia="方正仿宋简体" w:cs="方正仿宋简体"/>
          <w:b/>
          <w:bCs w:val="0"/>
          <w:color w:val="auto"/>
          <w:highlight w:val="none"/>
        </w:rPr>
        <w:t>六、</w:t>
      </w:r>
      <w:r>
        <w:rPr>
          <w:rFonts w:hint="eastAsia" w:ascii="方正仿宋简体" w:hAnsi="方正仿宋简体" w:eastAsia="方正仿宋简体" w:cs="方正仿宋简体"/>
          <w:b/>
          <w:bCs w:val="0"/>
          <w:color w:val="auto"/>
          <w:highlight w:val="none"/>
        </w:rPr>
        <w:t>一</w:t>
      </w:r>
      <w:r>
        <w:rPr>
          <w:rStyle w:val="29"/>
          <w:rFonts w:hint="eastAsia" w:ascii="方正仿宋简体" w:hAnsi="方正仿宋简体" w:eastAsia="方正仿宋简体" w:cs="方正仿宋简体"/>
          <w:b/>
          <w:bCs w:val="0"/>
          <w:color w:val="auto"/>
          <w:highlight w:val="none"/>
        </w:rPr>
        <w:t>般公共预算财政拨款支出决算表</w:t>
      </w:r>
      <w:bookmarkEnd w:id="61"/>
    </w:p>
    <w:p>
      <w:pPr>
        <w:pStyle w:val="3"/>
        <w:pageBreakBefore w:val="0"/>
        <w:kinsoku/>
        <w:wordWrap/>
        <w:overflowPunct/>
        <w:topLinePunct w:val="0"/>
        <w:bidi w:val="0"/>
        <w:spacing w:before="0" w:after="0" w:line="578" w:lineRule="exact"/>
        <w:textAlignment w:val="auto"/>
        <w:rPr>
          <w:rFonts w:hint="eastAsia" w:ascii="方正仿宋简体" w:hAnsi="方正仿宋简体" w:eastAsia="方正仿宋简体" w:cs="方正仿宋简体"/>
          <w:b/>
          <w:bCs w:val="0"/>
          <w:color w:val="auto"/>
          <w:highlight w:val="none"/>
        </w:rPr>
      </w:pPr>
      <w:bookmarkStart w:id="62" w:name="_Toc15396625"/>
      <w:r>
        <w:rPr>
          <w:rStyle w:val="29"/>
          <w:rFonts w:hint="eastAsia" w:ascii="方正仿宋简体" w:hAnsi="方正仿宋简体" w:eastAsia="方正仿宋简体" w:cs="方正仿宋简体"/>
          <w:b/>
          <w:bCs w:val="0"/>
          <w:color w:val="auto"/>
          <w:highlight w:val="none"/>
        </w:rPr>
        <w:t>七、</w:t>
      </w:r>
      <w:r>
        <w:rPr>
          <w:rFonts w:hint="eastAsia" w:ascii="方正仿宋简体" w:hAnsi="方正仿宋简体" w:eastAsia="方正仿宋简体" w:cs="方正仿宋简体"/>
          <w:b/>
          <w:bCs w:val="0"/>
          <w:color w:val="auto"/>
          <w:highlight w:val="none"/>
        </w:rPr>
        <w:t>一</w:t>
      </w:r>
      <w:r>
        <w:rPr>
          <w:rStyle w:val="29"/>
          <w:rFonts w:hint="eastAsia" w:ascii="方正仿宋简体" w:hAnsi="方正仿宋简体" w:eastAsia="方正仿宋简体" w:cs="方正仿宋简体"/>
          <w:b/>
          <w:bCs w:val="0"/>
          <w:color w:val="auto"/>
          <w:highlight w:val="none"/>
        </w:rPr>
        <w:t>般公共预算财政拨款支出决算明细表</w:t>
      </w:r>
      <w:bookmarkEnd w:id="62"/>
    </w:p>
    <w:p>
      <w:pPr>
        <w:pStyle w:val="3"/>
        <w:pageBreakBefore w:val="0"/>
        <w:kinsoku/>
        <w:wordWrap/>
        <w:overflowPunct/>
        <w:topLinePunct w:val="0"/>
        <w:bidi w:val="0"/>
        <w:spacing w:before="0" w:after="0" w:line="578" w:lineRule="exact"/>
        <w:textAlignment w:val="auto"/>
        <w:rPr>
          <w:rFonts w:hint="eastAsia" w:ascii="方正仿宋简体" w:hAnsi="方正仿宋简体" w:eastAsia="方正仿宋简体" w:cs="方正仿宋简体"/>
          <w:b/>
          <w:bCs w:val="0"/>
          <w:color w:val="auto"/>
          <w:highlight w:val="none"/>
        </w:rPr>
      </w:pPr>
      <w:bookmarkStart w:id="63" w:name="_Toc15396626"/>
      <w:r>
        <w:rPr>
          <w:rStyle w:val="29"/>
          <w:rFonts w:hint="eastAsia" w:ascii="方正仿宋简体" w:hAnsi="方正仿宋简体" w:eastAsia="方正仿宋简体" w:cs="方正仿宋简体"/>
          <w:b/>
          <w:bCs w:val="0"/>
          <w:color w:val="auto"/>
          <w:highlight w:val="none"/>
        </w:rPr>
        <w:t>八、</w:t>
      </w:r>
      <w:r>
        <w:rPr>
          <w:rFonts w:hint="eastAsia" w:ascii="方正仿宋简体" w:hAnsi="方正仿宋简体" w:eastAsia="方正仿宋简体" w:cs="方正仿宋简体"/>
          <w:b/>
          <w:bCs w:val="0"/>
          <w:color w:val="auto"/>
          <w:highlight w:val="none"/>
        </w:rPr>
        <w:t>一</w:t>
      </w:r>
      <w:r>
        <w:rPr>
          <w:rStyle w:val="29"/>
          <w:rFonts w:hint="eastAsia" w:ascii="方正仿宋简体" w:hAnsi="方正仿宋简体" w:eastAsia="方正仿宋简体" w:cs="方正仿宋简体"/>
          <w:b/>
          <w:bCs w:val="0"/>
          <w:color w:val="auto"/>
          <w:highlight w:val="none"/>
        </w:rPr>
        <w:t>般公共预算财政拨款基本支出决算表</w:t>
      </w:r>
      <w:bookmarkEnd w:id="63"/>
    </w:p>
    <w:p>
      <w:pPr>
        <w:pStyle w:val="3"/>
        <w:pageBreakBefore w:val="0"/>
        <w:kinsoku/>
        <w:wordWrap/>
        <w:overflowPunct/>
        <w:topLinePunct w:val="0"/>
        <w:bidi w:val="0"/>
        <w:spacing w:before="0" w:after="0" w:line="578" w:lineRule="exact"/>
        <w:textAlignment w:val="auto"/>
        <w:rPr>
          <w:rFonts w:hint="eastAsia" w:ascii="方正仿宋简体" w:hAnsi="方正仿宋简体" w:eastAsia="方正仿宋简体" w:cs="方正仿宋简体"/>
          <w:b/>
          <w:bCs w:val="0"/>
          <w:color w:val="auto"/>
          <w:highlight w:val="none"/>
        </w:rPr>
      </w:pPr>
      <w:bookmarkStart w:id="64" w:name="_Toc15396627"/>
      <w:r>
        <w:rPr>
          <w:rStyle w:val="29"/>
          <w:rFonts w:hint="eastAsia" w:ascii="方正仿宋简体" w:hAnsi="方正仿宋简体" w:eastAsia="方正仿宋简体" w:cs="方正仿宋简体"/>
          <w:b/>
          <w:bCs w:val="0"/>
          <w:color w:val="auto"/>
          <w:highlight w:val="none"/>
        </w:rPr>
        <w:t>九、</w:t>
      </w:r>
      <w:r>
        <w:rPr>
          <w:rFonts w:hint="eastAsia" w:ascii="方正仿宋简体" w:hAnsi="方正仿宋简体" w:eastAsia="方正仿宋简体" w:cs="方正仿宋简体"/>
          <w:b/>
          <w:bCs w:val="0"/>
          <w:color w:val="auto"/>
          <w:highlight w:val="none"/>
        </w:rPr>
        <w:t>一</w:t>
      </w:r>
      <w:r>
        <w:rPr>
          <w:rStyle w:val="29"/>
          <w:rFonts w:hint="eastAsia" w:ascii="方正仿宋简体" w:hAnsi="方正仿宋简体" w:eastAsia="方正仿宋简体" w:cs="方正仿宋简体"/>
          <w:b/>
          <w:bCs w:val="0"/>
          <w:color w:val="auto"/>
          <w:highlight w:val="none"/>
        </w:rPr>
        <w:t>般公共预算财政拨款项目支出决算表</w:t>
      </w:r>
      <w:bookmarkEnd w:id="64"/>
    </w:p>
    <w:p>
      <w:pPr>
        <w:pStyle w:val="3"/>
        <w:pageBreakBefore w:val="0"/>
        <w:kinsoku/>
        <w:wordWrap/>
        <w:overflowPunct/>
        <w:topLinePunct w:val="0"/>
        <w:bidi w:val="0"/>
        <w:spacing w:before="0" w:after="0" w:line="578" w:lineRule="exact"/>
        <w:textAlignment w:val="auto"/>
        <w:rPr>
          <w:rFonts w:hint="eastAsia" w:ascii="方正仿宋简体" w:hAnsi="方正仿宋简体" w:eastAsia="方正仿宋简体" w:cs="方正仿宋简体"/>
          <w:b/>
          <w:bCs w:val="0"/>
          <w:color w:val="auto"/>
          <w:highlight w:val="none"/>
        </w:rPr>
      </w:pPr>
      <w:bookmarkStart w:id="65" w:name="_Toc15396628"/>
      <w:r>
        <w:rPr>
          <w:rStyle w:val="29"/>
          <w:rFonts w:hint="eastAsia" w:ascii="方正仿宋简体" w:hAnsi="方正仿宋简体" w:eastAsia="方正仿宋简体" w:cs="方正仿宋简体"/>
          <w:b/>
          <w:bCs w:val="0"/>
          <w:color w:val="auto"/>
          <w:highlight w:val="none"/>
        </w:rPr>
        <w:t>十、</w:t>
      </w:r>
      <w:bookmarkEnd w:id="65"/>
      <w:r>
        <w:rPr>
          <w:rFonts w:hint="eastAsia" w:ascii="方正仿宋简体" w:hAnsi="方正仿宋简体" w:eastAsia="方正仿宋简体" w:cs="方正仿宋简体"/>
          <w:b/>
          <w:bCs w:val="0"/>
          <w:color w:val="auto"/>
          <w:highlight w:val="none"/>
        </w:rPr>
        <w:t>政</w:t>
      </w:r>
      <w:r>
        <w:rPr>
          <w:rStyle w:val="29"/>
          <w:rFonts w:hint="eastAsia" w:ascii="方正仿宋简体" w:hAnsi="方正仿宋简体" w:eastAsia="方正仿宋简体" w:cs="方正仿宋简体"/>
          <w:b/>
          <w:bCs w:val="0"/>
          <w:color w:val="auto"/>
          <w:highlight w:val="none"/>
        </w:rPr>
        <w:t>府性基金预算财政拨款收入支出决算表</w:t>
      </w:r>
    </w:p>
    <w:p>
      <w:pPr>
        <w:pStyle w:val="3"/>
        <w:pageBreakBefore w:val="0"/>
        <w:kinsoku/>
        <w:wordWrap/>
        <w:overflowPunct/>
        <w:topLinePunct w:val="0"/>
        <w:bidi w:val="0"/>
        <w:spacing w:before="0" w:after="0" w:line="578" w:lineRule="exact"/>
        <w:textAlignment w:val="auto"/>
        <w:rPr>
          <w:rFonts w:hint="eastAsia" w:ascii="方正仿宋简体" w:hAnsi="方正仿宋简体" w:eastAsia="方正仿宋简体" w:cs="方正仿宋简体"/>
          <w:b/>
          <w:bCs w:val="0"/>
          <w:color w:val="auto"/>
          <w:highlight w:val="none"/>
        </w:rPr>
      </w:pPr>
      <w:bookmarkStart w:id="66" w:name="_Toc15396629"/>
      <w:r>
        <w:rPr>
          <w:rStyle w:val="29"/>
          <w:rFonts w:hint="eastAsia" w:ascii="方正仿宋简体" w:hAnsi="方正仿宋简体" w:eastAsia="方正仿宋简体" w:cs="方正仿宋简体"/>
          <w:b/>
          <w:bCs w:val="0"/>
          <w:color w:val="auto"/>
          <w:highlight w:val="none"/>
        </w:rPr>
        <w:t>十一、</w:t>
      </w:r>
      <w:bookmarkEnd w:id="66"/>
      <w:r>
        <w:rPr>
          <w:rFonts w:hint="eastAsia" w:ascii="方正仿宋简体" w:hAnsi="方正仿宋简体" w:eastAsia="方正仿宋简体" w:cs="方正仿宋简体"/>
          <w:b/>
          <w:bCs w:val="0"/>
          <w:color w:val="auto"/>
          <w:highlight w:val="none"/>
        </w:rPr>
        <w:t>国</w:t>
      </w:r>
      <w:r>
        <w:rPr>
          <w:rStyle w:val="29"/>
          <w:rFonts w:hint="eastAsia" w:ascii="方正仿宋简体" w:hAnsi="方正仿宋简体" w:eastAsia="方正仿宋简体" w:cs="方正仿宋简体"/>
          <w:b/>
          <w:bCs w:val="0"/>
          <w:color w:val="auto"/>
          <w:highlight w:val="none"/>
        </w:rPr>
        <w:t>有资本经营预算</w:t>
      </w:r>
      <w:r>
        <w:rPr>
          <w:rStyle w:val="29"/>
          <w:rFonts w:hint="eastAsia" w:ascii="方正仿宋简体" w:hAnsi="方正仿宋简体" w:eastAsia="方正仿宋简体" w:cs="方正仿宋简体"/>
          <w:b/>
          <w:bCs w:val="0"/>
          <w:color w:val="auto"/>
          <w:highlight w:val="none"/>
          <w:lang w:eastAsia="zh-CN"/>
        </w:rPr>
        <w:t>财政拨款收入</w:t>
      </w:r>
      <w:r>
        <w:rPr>
          <w:rStyle w:val="29"/>
          <w:rFonts w:hint="eastAsia" w:ascii="方正仿宋简体" w:hAnsi="方正仿宋简体" w:eastAsia="方正仿宋简体" w:cs="方正仿宋简体"/>
          <w:b/>
          <w:bCs w:val="0"/>
          <w:color w:val="auto"/>
          <w:highlight w:val="none"/>
        </w:rPr>
        <w:t>支出决算表</w:t>
      </w:r>
    </w:p>
    <w:p>
      <w:pPr>
        <w:pStyle w:val="3"/>
        <w:pageBreakBefore w:val="0"/>
        <w:kinsoku/>
        <w:wordWrap/>
        <w:overflowPunct/>
        <w:topLinePunct w:val="0"/>
        <w:bidi w:val="0"/>
        <w:spacing w:before="0" w:after="0" w:line="578" w:lineRule="exact"/>
        <w:textAlignment w:val="auto"/>
        <w:rPr>
          <w:rFonts w:hint="eastAsia" w:ascii="方正仿宋简体" w:hAnsi="方正仿宋简体" w:eastAsia="方正仿宋简体" w:cs="方正仿宋简体"/>
          <w:b/>
          <w:bCs w:val="0"/>
          <w:color w:val="auto"/>
          <w:highlight w:val="none"/>
        </w:rPr>
      </w:pPr>
      <w:bookmarkStart w:id="67" w:name="_Toc15396630"/>
      <w:r>
        <w:rPr>
          <w:rStyle w:val="29"/>
          <w:rFonts w:hint="eastAsia" w:ascii="方正仿宋简体" w:hAnsi="方正仿宋简体" w:eastAsia="方正仿宋简体" w:cs="方正仿宋简体"/>
          <w:b/>
          <w:bCs w:val="0"/>
          <w:color w:val="auto"/>
          <w:highlight w:val="none"/>
        </w:rPr>
        <w:t>十二、</w:t>
      </w:r>
      <w:bookmarkEnd w:id="67"/>
      <w:r>
        <w:rPr>
          <w:rStyle w:val="29"/>
          <w:rFonts w:hint="eastAsia" w:ascii="方正仿宋简体" w:hAnsi="方正仿宋简体" w:eastAsia="方正仿宋简体" w:cs="方正仿宋简体"/>
          <w:b/>
          <w:bCs w:val="0"/>
          <w:color w:val="auto"/>
          <w:highlight w:val="none"/>
          <w:lang w:eastAsia="zh-CN"/>
        </w:rPr>
        <w:t>国有资本经营预算财政拨款支出决算表</w:t>
      </w:r>
    </w:p>
    <w:p>
      <w:pPr>
        <w:pStyle w:val="3"/>
        <w:pageBreakBefore w:val="0"/>
        <w:kinsoku/>
        <w:wordWrap/>
        <w:overflowPunct/>
        <w:topLinePunct w:val="0"/>
        <w:bidi w:val="0"/>
        <w:spacing w:before="0" w:after="0" w:line="578" w:lineRule="exact"/>
        <w:textAlignment w:val="auto"/>
        <w:rPr>
          <w:rFonts w:hint="eastAsia" w:ascii="方正仿宋简体" w:hAnsi="方正仿宋简体" w:eastAsia="方正仿宋简体" w:cs="方正仿宋简体"/>
          <w:b/>
          <w:bCs w:val="0"/>
          <w:color w:val="auto"/>
          <w:highlight w:val="none"/>
          <w:lang w:eastAsia="zh-CN"/>
        </w:rPr>
      </w:pPr>
      <w:bookmarkStart w:id="68" w:name="_Toc15396631"/>
      <w:r>
        <w:rPr>
          <w:rStyle w:val="29"/>
          <w:rFonts w:hint="eastAsia" w:ascii="方正仿宋简体" w:hAnsi="方正仿宋简体" w:eastAsia="方正仿宋简体" w:cs="方正仿宋简体"/>
          <w:b/>
          <w:bCs w:val="0"/>
          <w:color w:val="auto"/>
          <w:highlight w:val="none"/>
        </w:rPr>
        <w:t>十三、</w:t>
      </w:r>
      <w:bookmarkEnd w:id="68"/>
      <w:r>
        <w:rPr>
          <w:rStyle w:val="29"/>
          <w:rFonts w:hint="eastAsia" w:ascii="方正仿宋简体" w:hAnsi="方正仿宋简体" w:eastAsia="方正仿宋简体" w:cs="方正仿宋简体"/>
          <w:b/>
          <w:bCs w:val="0"/>
          <w:color w:val="auto"/>
          <w:highlight w:val="none"/>
          <w:lang w:eastAsia="zh-CN"/>
        </w:rPr>
        <w:t>财政拨款“三公”经费支出决算表</w:t>
      </w:r>
    </w:p>
    <w:sectPr>
      <w:pgSz w:w="11906" w:h="16838"/>
      <w:pgMar w:top="1440" w:right="1803" w:bottom="1440" w:left="1803" w:header="851" w:footer="992"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32"/>
                              <w:szCs w:val="32"/>
                            </w:rPr>
                          </w:pPr>
                          <w:r>
                            <w:rPr>
                              <w:b/>
                              <w:bCs/>
                              <w:sz w:val="32"/>
                              <w:szCs w:val="32"/>
                            </w:rPr>
                            <w:t xml:space="preserve">— </w:t>
                          </w: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2</w:t>
                          </w:r>
                          <w:r>
                            <w:rPr>
                              <w:b/>
                              <w:bCs/>
                              <w:sz w:val="32"/>
                              <w:szCs w:val="32"/>
                            </w:rPr>
                            <w:fldChar w:fldCharType="end"/>
                          </w:r>
                          <w:r>
                            <w:rPr>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b/>
                        <w:bCs/>
                        <w:sz w:val="32"/>
                        <w:szCs w:val="32"/>
                      </w:rPr>
                    </w:pPr>
                    <w:r>
                      <w:rPr>
                        <w:b/>
                        <w:bCs/>
                        <w:sz w:val="32"/>
                        <w:szCs w:val="32"/>
                      </w:rPr>
                      <w:t xml:space="preserve">— </w:t>
                    </w: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2</w:t>
                    </w:r>
                    <w:r>
                      <w:rPr>
                        <w:b/>
                        <w:bCs/>
                        <w:sz w:val="32"/>
                        <w:szCs w:val="32"/>
                      </w:rPr>
                      <w:fldChar w:fldCharType="end"/>
                    </w:r>
                    <w:r>
                      <w:rPr>
                        <w:b/>
                        <w:bCs/>
                        <w:sz w:val="32"/>
                        <w:szCs w:val="32"/>
                      </w:rPr>
                      <w:t xml:space="preserve"> —</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300"/>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w:t>
                          </w:r>
                          <w:r>
                            <w:rPr>
                              <w:rFonts w:hint="default" w:ascii="Times New Roman" w:hAnsi="Times New Roman" w:cs="Times New Roman"/>
                              <w:b/>
                              <w:bCs/>
                              <w:sz w:val="32"/>
                              <w:szCs w:val="32"/>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1</w:t>
                          </w:r>
                          <w:r>
                            <w:rPr>
                              <w:rFonts w:hint="default" w:ascii="Times New Roman" w:hAnsi="Times New Roman" w:cs="Times New Roman"/>
                              <w:b/>
                              <w:bCs/>
                              <w:sz w:val="32"/>
                              <w:szCs w:val="32"/>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t>—</w:t>
                    </w:r>
                    <w:r>
                      <w:rPr>
                        <w:rFonts w:hint="default" w:ascii="Times New Roman" w:hAnsi="Times New Roman" w:cs="Times New Roman"/>
                        <w:b/>
                        <w:bCs/>
                        <w:sz w:val="32"/>
                        <w:szCs w:val="32"/>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1</w:t>
                    </w:r>
                    <w:r>
                      <w:rPr>
                        <w:rFonts w:hint="default" w:ascii="Times New Roman" w:hAnsi="Times New Roman" w:cs="Times New Roman"/>
                        <w:b/>
                        <w:bCs/>
                        <w:sz w:val="32"/>
                        <w:szCs w:val="32"/>
                      </w:rPr>
                      <w:fldChar w:fldCharType="end"/>
                    </w:r>
                    <w:r>
                      <w:t xml:space="preserve"> —</w:t>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32"/>
                              <w:szCs w:val="32"/>
                            </w:rPr>
                          </w:pPr>
                          <w:r>
                            <w:rPr>
                              <w:b/>
                              <w:bCs/>
                              <w:sz w:val="32"/>
                              <w:szCs w:val="32"/>
                            </w:rPr>
                            <w:t xml:space="preserve">— </w:t>
                          </w: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2</w:t>
                          </w:r>
                          <w:r>
                            <w:rPr>
                              <w:b/>
                              <w:bCs/>
                              <w:sz w:val="32"/>
                              <w:szCs w:val="32"/>
                            </w:rPr>
                            <w:fldChar w:fldCharType="end"/>
                          </w:r>
                          <w:r>
                            <w:rPr>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rPr>
                        <w:b/>
                        <w:bCs/>
                        <w:sz w:val="32"/>
                        <w:szCs w:val="32"/>
                      </w:rPr>
                    </w:pPr>
                    <w:r>
                      <w:rPr>
                        <w:b/>
                        <w:bCs/>
                        <w:sz w:val="32"/>
                        <w:szCs w:val="32"/>
                      </w:rPr>
                      <w:t xml:space="preserve">— </w:t>
                    </w: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2</w:t>
                    </w:r>
                    <w:r>
                      <w:rPr>
                        <w:b/>
                        <w:bCs/>
                        <w:sz w:val="32"/>
                        <w:szCs w:val="32"/>
                      </w:rPr>
                      <w:fldChar w:fldCharType="end"/>
                    </w:r>
                    <w:r>
                      <w:rPr>
                        <w:b/>
                        <w:bCs/>
                        <w:sz w:val="32"/>
                        <w:szCs w:val="32"/>
                      </w:rPr>
                      <w:t xml:space="preserve"> —</w:t>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300"/>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w:t>
                          </w:r>
                          <w:r>
                            <w:rPr>
                              <w:rFonts w:hint="default" w:ascii="Times New Roman" w:hAnsi="Times New Roman" w:cs="Times New Roman"/>
                              <w:b/>
                              <w:bCs/>
                              <w:sz w:val="32"/>
                              <w:szCs w:val="32"/>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1</w:t>
                          </w:r>
                          <w:r>
                            <w:rPr>
                              <w:rFonts w:hint="default" w:ascii="Times New Roman" w:hAnsi="Times New Roman" w:cs="Times New Roman"/>
                              <w:b/>
                              <w:bCs/>
                              <w:sz w:val="32"/>
                              <w:szCs w:val="32"/>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pPr>
                    <w:r>
                      <w:t>—</w:t>
                    </w:r>
                    <w:r>
                      <w:rPr>
                        <w:rFonts w:hint="default" w:ascii="Times New Roman" w:hAnsi="Times New Roman" w:cs="Times New Roman"/>
                        <w:b/>
                        <w:bCs/>
                        <w:sz w:val="32"/>
                        <w:szCs w:val="32"/>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1</w:t>
                    </w:r>
                    <w:r>
                      <w:rPr>
                        <w:rFonts w:hint="default" w:ascii="Times New Roman" w:hAnsi="Times New Roman" w:cs="Times New Roman"/>
                        <w:b/>
                        <w:bCs/>
                        <w:sz w:val="32"/>
                        <w:szCs w:val="32"/>
                      </w:rPr>
                      <w:fldChar w:fldCharType="end"/>
                    </w:r>
                    <w: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BD334"/>
    <w:multiLevelType w:val="singleLevel"/>
    <w:tmpl w:val="B1CBD334"/>
    <w:lvl w:ilvl="0" w:tentative="0">
      <w:start w:val="3"/>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773240"/>
    <w:multiLevelType w:val="singleLevel"/>
    <w:tmpl w:val="FF773240"/>
    <w:lvl w:ilvl="0" w:tentative="0">
      <w:start w:val="1"/>
      <w:numFmt w:val="decimal"/>
      <w:suff w:val="space"/>
      <w:lvlText w:val="%1."/>
      <w:lvlJc w:val="left"/>
    </w:lvl>
  </w:abstractNum>
  <w:abstractNum w:abstractNumId="4">
    <w:nsid w:val="FFF674BC"/>
    <w:multiLevelType w:val="singleLevel"/>
    <w:tmpl w:val="FFF674BC"/>
    <w:lvl w:ilvl="0" w:tentative="0">
      <w:start w:val="1"/>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6786BED6"/>
    <w:multiLevelType w:val="singleLevel"/>
    <w:tmpl w:val="6786BED6"/>
    <w:lvl w:ilvl="0" w:tentative="0">
      <w:start w:val="1"/>
      <w:numFmt w:val="decimal"/>
      <w:suff w:val="space"/>
      <w:lvlText w:val="%1."/>
      <w:lvlJc w:val="left"/>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NjVlZGFiNzBkMDQwNmVhNjQ5MWY3MjkwOWE3ZT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4C728A7"/>
    <w:rsid w:val="066E0107"/>
    <w:rsid w:val="07996F6E"/>
    <w:rsid w:val="0A2032A3"/>
    <w:rsid w:val="0C2574AE"/>
    <w:rsid w:val="0F98263C"/>
    <w:rsid w:val="101860EC"/>
    <w:rsid w:val="10C055FF"/>
    <w:rsid w:val="11265156"/>
    <w:rsid w:val="118107EC"/>
    <w:rsid w:val="12D82725"/>
    <w:rsid w:val="13D50BC4"/>
    <w:rsid w:val="143E5794"/>
    <w:rsid w:val="150D71C5"/>
    <w:rsid w:val="16BB723D"/>
    <w:rsid w:val="18FB23C1"/>
    <w:rsid w:val="19113F73"/>
    <w:rsid w:val="1B852378"/>
    <w:rsid w:val="1BE8440E"/>
    <w:rsid w:val="1D155CEE"/>
    <w:rsid w:val="1FB33E14"/>
    <w:rsid w:val="1FF35744"/>
    <w:rsid w:val="23860B96"/>
    <w:rsid w:val="23CC1C6B"/>
    <w:rsid w:val="240371BF"/>
    <w:rsid w:val="26D2389C"/>
    <w:rsid w:val="298011DE"/>
    <w:rsid w:val="29FD04D3"/>
    <w:rsid w:val="2C8A61B5"/>
    <w:rsid w:val="2DF04E50"/>
    <w:rsid w:val="2F040D46"/>
    <w:rsid w:val="319F7F4E"/>
    <w:rsid w:val="31E93339"/>
    <w:rsid w:val="3304709D"/>
    <w:rsid w:val="330D7421"/>
    <w:rsid w:val="334F6ECC"/>
    <w:rsid w:val="36AA5135"/>
    <w:rsid w:val="376D39B2"/>
    <w:rsid w:val="37E16F03"/>
    <w:rsid w:val="384B346A"/>
    <w:rsid w:val="38D469F0"/>
    <w:rsid w:val="397871A5"/>
    <w:rsid w:val="39BD0536"/>
    <w:rsid w:val="3AA620EB"/>
    <w:rsid w:val="3AAF712E"/>
    <w:rsid w:val="3BCC2061"/>
    <w:rsid w:val="3C8B5CC7"/>
    <w:rsid w:val="3D1F2B94"/>
    <w:rsid w:val="3D98207C"/>
    <w:rsid w:val="3E78745D"/>
    <w:rsid w:val="44E268DA"/>
    <w:rsid w:val="463725F7"/>
    <w:rsid w:val="4A3A0738"/>
    <w:rsid w:val="4A627F82"/>
    <w:rsid w:val="4B0E749A"/>
    <w:rsid w:val="4B4F25DA"/>
    <w:rsid w:val="4BE068DB"/>
    <w:rsid w:val="4D577224"/>
    <w:rsid w:val="4DBE7074"/>
    <w:rsid w:val="4E635994"/>
    <w:rsid w:val="4EAB630A"/>
    <w:rsid w:val="4ECE2238"/>
    <w:rsid w:val="4F74642F"/>
    <w:rsid w:val="537E6D0A"/>
    <w:rsid w:val="5AF92295"/>
    <w:rsid w:val="5CD71FC4"/>
    <w:rsid w:val="5E296341"/>
    <w:rsid w:val="60271F21"/>
    <w:rsid w:val="676D2C7D"/>
    <w:rsid w:val="6AEF46EE"/>
    <w:rsid w:val="6C4A05C8"/>
    <w:rsid w:val="6C956751"/>
    <w:rsid w:val="6E7E3605"/>
    <w:rsid w:val="6FF5CC65"/>
    <w:rsid w:val="70AF65CC"/>
    <w:rsid w:val="70B1773B"/>
    <w:rsid w:val="712944EF"/>
    <w:rsid w:val="715C0E4B"/>
    <w:rsid w:val="72734D90"/>
    <w:rsid w:val="73A11102"/>
    <w:rsid w:val="73AD73D5"/>
    <w:rsid w:val="73B6EB34"/>
    <w:rsid w:val="73EC7414"/>
    <w:rsid w:val="744731E5"/>
    <w:rsid w:val="76E3355F"/>
    <w:rsid w:val="778769C8"/>
    <w:rsid w:val="77D477DA"/>
    <w:rsid w:val="79EE5BA4"/>
    <w:rsid w:val="7A894339"/>
    <w:rsid w:val="7CB976B7"/>
    <w:rsid w:val="7EE01A96"/>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7451</Words>
  <Characters>7904</Characters>
  <Lines>61</Lines>
  <Paragraphs>17</Paragraphs>
  <TotalTime>40</TotalTime>
  <ScaleCrop>false</ScaleCrop>
  <LinksUpToDate>false</LinksUpToDate>
  <CharactersWithSpaces>7927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企业用户_648017229</cp:lastModifiedBy>
  <cp:lastPrinted>2023-10-08T01:37:51Z</cp:lastPrinted>
  <dcterms:modified xsi:type="dcterms:W3CDTF">2023-10-08T02:24:48Z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FA522A1F07944B5A8B3FF9651125F79C</vt:lpwstr>
  </property>
</Properties>
</file>